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1AECE" w14:textId="653162DE" w:rsidR="008F096B" w:rsidRPr="00756573" w:rsidRDefault="008F096B" w:rsidP="002312A1">
      <w:pPr>
        <w:jc w:val="both"/>
        <w:rPr>
          <w:rFonts w:ascii="Work Sans" w:hAnsi="Work Sans" w:cs="Arial"/>
          <w:sz w:val="22"/>
          <w:szCs w:val="22"/>
        </w:rPr>
      </w:pPr>
      <w:r w:rsidRPr="00756573">
        <w:rPr>
          <w:rFonts w:ascii="Work Sans" w:hAnsi="Work Sans" w:cs="Arial"/>
          <w:sz w:val="22"/>
          <w:szCs w:val="22"/>
        </w:rPr>
        <w:t>En el marco de la pregunta 1 remitid</w:t>
      </w:r>
      <w:r w:rsidR="002312A1" w:rsidRPr="00756573">
        <w:rPr>
          <w:rFonts w:ascii="Work Sans" w:hAnsi="Work Sans" w:cs="Arial"/>
          <w:sz w:val="22"/>
          <w:szCs w:val="22"/>
        </w:rPr>
        <w:t>a a esta dependencia</w:t>
      </w:r>
      <w:r w:rsidR="00C25F8C" w:rsidRPr="00756573">
        <w:rPr>
          <w:rFonts w:ascii="Work Sans" w:hAnsi="Work Sans" w:cs="Arial"/>
          <w:sz w:val="22"/>
          <w:szCs w:val="22"/>
        </w:rPr>
        <w:t>,</w:t>
      </w:r>
      <w:r w:rsidR="002312A1" w:rsidRPr="00756573">
        <w:rPr>
          <w:rFonts w:ascii="Work Sans" w:hAnsi="Work Sans" w:cs="Arial"/>
          <w:sz w:val="22"/>
          <w:szCs w:val="22"/>
        </w:rPr>
        <w:t xml:space="preserve"> se procede a dar respuesta orientada desde la financiación de proyectos por medio de los fondos de inversión FAZNI, FAER y PRONE</w:t>
      </w:r>
      <w:r w:rsidR="00A23F50">
        <w:rPr>
          <w:rFonts w:ascii="Work Sans" w:hAnsi="Work Sans" w:cs="Arial"/>
          <w:sz w:val="22"/>
          <w:szCs w:val="22"/>
        </w:rPr>
        <w:t>, y el mecanismo de Obras por Impuestos</w:t>
      </w:r>
      <w:r w:rsidR="002312A1" w:rsidRPr="00756573">
        <w:rPr>
          <w:rFonts w:ascii="Work Sans" w:hAnsi="Work Sans" w:cs="Arial"/>
          <w:sz w:val="22"/>
          <w:szCs w:val="22"/>
        </w:rPr>
        <w:t xml:space="preserve">. </w:t>
      </w:r>
    </w:p>
    <w:p w14:paraId="3EEBF825" w14:textId="77777777" w:rsidR="002312A1" w:rsidRPr="00756573" w:rsidRDefault="008F096B" w:rsidP="002312A1">
      <w:pPr>
        <w:pStyle w:val="Prrafodelista"/>
        <w:numPr>
          <w:ilvl w:val="0"/>
          <w:numId w:val="1"/>
        </w:numPr>
        <w:ind w:left="426"/>
        <w:jc w:val="both"/>
        <w:rPr>
          <w:rFonts w:ascii="Work Sans" w:hAnsi="Work Sans" w:cs="Arial"/>
          <w:b/>
          <w:bCs/>
          <w:i/>
          <w:iCs/>
          <w:sz w:val="22"/>
          <w:szCs w:val="22"/>
        </w:rPr>
      </w:pPr>
      <w:r w:rsidRPr="00756573">
        <w:rPr>
          <w:rFonts w:ascii="Work Sans" w:hAnsi="Work Sans" w:cs="Arial"/>
          <w:b/>
          <w:bCs/>
          <w:i/>
          <w:iCs/>
          <w:sz w:val="22"/>
          <w:szCs w:val="22"/>
        </w:rPr>
        <w:t>Un listado consolidado y actualizado de todos los proyectos del sector eléctrico que se encuentren en el departamento del Meta, incluyendo aquellos en fase de:</w:t>
      </w:r>
    </w:p>
    <w:p w14:paraId="3B69A742" w14:textId="178099DE"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Formulación</w:t>
      </w:r>
    </w:p>
    <w:p w14:paraId="784F5BC5" w14:textId="77777777"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Estructuración</w:t>
      </w:r>
    </w:p>
    <w:p w14:paraId="3083ECE5" w14:textId="77777777"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Viabilizació</w:t>
      </w:r>
      <w:r w:rsidR="002312A1" w:rsidRPr="00756573">
        <w:rPr>
          <w:rFonts w:ascii="Work Sans" w:hAnsi="Work Sans" w:cs="Arial"/>
          <w:b/>
          <w:bCs/>
          <w:i/>
          <w:iCs/>
          <w:sz w:val="22"/>
          <w:szCs w:val="22"/>
        </w:rPr>
        <w:t>n</w:t>
      </w:r>
    </w:p>
    <w:p w14:paraId="49A75FF0" w14:textId="77777777"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Aprobación</w:t>
      </w:r>
    </w:p>
    <w:p w14:paraId="7DE1008C" w14:textId="3BDEECD3" w:rsidR="002312A1" w:rsidRPr="00756573" w:rsidRDefault="008F096B" w:rsidP="002312A1">
      <w:pPr>
        <w:pStyle w:val="Prrafodelista"/>
        <w:numPr>
          <w:ilvl w:val="0"/>
          <w:numId w:val="2"/>
        </w:numPr>
        <w:ind w:left="851"/>
        <w:jc w:val="both"/>
        <w:rPr>
          <w:rFonts w:ascii="Work Sans" w:hAnsi="Work Sans" w:cs="Arial"/>
          <w:b/>
          <w:bCs/>
          <w:i/>
          <w:iCs/>
          <w:sz w:val="22"/>
          <w:szCs w:val="22"/>
        </w:rPr>
      </w:pPr>
      <w:r w:rsidRPr="00756573">
        <w:rPr>
          <w:rFonts w:ascii="Work Sans" w:hAnsi="Work Sans" w:cs="Arial"/>
          <w:b/>
          <w:bCs/>
          <w:i/>
          <w:iCs/>
          <w:sz w:val="22"/>
          <w:szCs w:val="22"/>
        </w:rPr>
        <w:t>Contratación</w:t>
      </w:r>
    </w:p>
    <w:p w14:paraId="6691E8D6" w14:textId="1352DB87" w:rsidR="00756573" w:rsidRPr="00823517" w:rsidRDefault="002312A1" w:rsidP="00823517">
      <w:pPr>
        <w:jc w:val="both"/>
        <w:rPr>
          <w:rFonts w:ascii="Work Sans" w:hAnsi="Work Sans" w:cs="Arial"/>
          <w:sz w:val="22"/>
          <w:szCs w:val="22"/>
        </w:rPr>
      </w:pPr>
      <w:r w:rsidRPr="00756573">
        <w:rPr>
          <w:rFonts w:ascii="Work Sans" w:hAnsi="Work Sans" w:cs="Arial"/>
          <w:b/>
          <w:bCs/>
          <w:sz w:val="22"/>
          <w:szCs w:val="22"/>
        </w:rPr>
        <w:t>Respuesta:</w:t>
      </w:r>
      <w:r w:rsidRPr="00756573">
        <w:rPr>
          <w:rFonts w:ascii="Work Sans" w:hAnsi="Work Sans" w:cs="Arial"/>
          <w:sz w:val="22"/>
          <w:szCs w:val="22"/>
        </w:rPr>
        <w:t xml:space="preserve"> </w:t>
      </w:r>
      <w:r w:rsidR="00992301" w:rsidRPr="00992301">
        <w:rPr>
          <w:rFonts w:ascii="Work Sans" w:hAnsi="Work Sans" w:cs="Arial"/>
          <w:sz w:val="22"/>
          <w:szCs w:val="22"/>
        </w:rPr>
        <w:t>En el marco del Plan Nacional de Electrificación Rural (PNER) y el compromiso con la universalización del servicio de energía eléctrica, el Ministerio de Minas y Energía (MME) lidera estrategias para cerrar las brechas de cobertura, calidad y continuidad en el país. Para ello, el MME canaliza recursos mediante fondos específicos como el Fondo de Apoyo para la Energización de las Zonas No Interconectadas (FAZNI), el Fondo de Apoyo para la Energización de las Zonas Rurales (FAER) y el Programa de Normalización de Redes Eléctricas (PRONE), además del mecanismo de Obras por Impuestos (</w:t>
      </w:r>
      <w:proofErr w:type="spellStart"/>
      <w:r w:rsidR="00992301" w:rsidRPr="00992301">
        <w:rPr>
          <w:rFonts w:ascii="Work Sans" w:hAnsi="Work Sans" w:cs="Arial"/>
          <w:sz w:val="22"/>
          <w:szCs w:val="22"/>
        </w:rPr>
        <w:t>OxI</w:t>
      </w:r>
      <w:proofErr w:type="spellEnd"/>
      <w:r w:rsidR="00992301" w:rsidRPr="00992301">
        <w:rPr>
          <w:rFonts w:ascii="Work Sans" w:hAnsi="Work Sans" w:cs="Arial"/>
          <w:sz w:val="22"/>
          <w:szCs w:val="22"/>
        </w:rPr>
        <w:t>). A continuación, se presenta el funcionamiento de esta oferta institucional.</w:t>
      </w:r>
    </w:p>
    <w:p w14:paraId="080B30C6" w14:textId="77777777" w:rsidR="00756573" w:rsidRPr="00992301" w:rsidRDefault="00756573" w:rsidP="00992301">
      <w:pPr>
        <w:pStyle w:val="paragraph"/>
        <w:spacing w:line="276" w:lineRule="auto"/>
        <w:jc w:val="both"/>
        <w:rPr>
          <w:rStyle w:val="nfasisintenso"/>
          <w:b/>
          <w:bCs/>
        </w:rPr>
      </w:pPr>
      <w:r w:rsidRPr="00992301">
        <w:rPr>
          <w:rStyle w:val="nfasisintenso"/>
          <w:b/>
          <w:bCs/>
        </w:rPr>
        <w:t>Fondo de Apoyo Financiero para la Energización de las Zonas No Interconectadas –FAZNI</w:t>
      </w:r>
    </w:p>
    <w:p w14:paraId="305AC79D"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El fondo FAZNI permite que los Entes Territoriales, apoyados por las Empresas Prestadoras del Servicio de Energía Eléctrica en la zona de influencia, sean los gestores de planes, programas y proyectos priorizados de inversión para construir e instalar la nueva infraestructura eléctrica y para reponer o rehabilitar la existente, para ampliar la cobertura y satisfacer la demanda de energía en las Zonas No Interconectadas (ZNI).</w:t>
      </w:r>
    </w:p>
    <w:p w14:paraId="25A8A7E8"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Es importante destacar que, para la asignación de recursos del FAZNI, el Ministerio de Minas y Energía considerará el orden de elegibilidad de los proyectos, de acuerdo con lo establecido en la normatividad vigente, específicamente el artículo 7 de la Resolución No. 40378 de 2023. Según este criterio, se asignará un valor preponderante a los proyectos que beneficien a poblaciones con características específicas, permitiendo así la inversión de más recursos para atender la demanda de energización en esas áreas.</w:t>
      </w:r>
    </w:p>
    <w:p w14:paraId="523E28E6"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Los planes, programas y proyectos que serán elegibles para asignación de fondos del FAZNI se podrán presentar por medio de los siguientes mecanismos:</w:t>
      </w:r>
    </w:p>
    <w:p w14:paraId="35B3F38B" w14:textId="77777777" w:rsidR="00756573" w:rsidRPr="00756573" w:rsidRDefault="00756573" w:rsidP="00756573">
      <w:pPr>
        <w:pStyle w:val="paragraph"/>
        <w:numPr>
          <w:ilvl w:val="0"/>
          <w:numId w:val="5"/>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lastRenderedPageBreak/>
        <w:t>Como resultado de las invitaciones públicas diseñadas por el Ministerio de Minas y Energía para proyectos de inversión en infraestructura en las Zonas No Interconectadas.</w:t>
      </w:r>
    </w:p>
    <w:p w14:paraId="5392FC3A" w14:textId="77777777" w:rsidR="00756573" w:rsidRPr="00756573" w:rsidRDefault="00756573" w:rsidP="00756573">
      <w:pPr>
        <w:pStyle w:val="paragraph"/>
        <w:numPr>
          <w:ilvl w:val="0"/>
          <w:numId w:val="5"/>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Como resultado de las invitaciones públicas diseñadas por el Ministerio de Minas y Energía para la implementación parcial o total de la infraestructura requerida por medio de los esquemas sostenibles de gestión para la prestación del servicio de energía eléctrica en las Zonas No Interconectadas de la que habla el artículo 65 de la ley 1151 de 2007.</w:t>
      </w:r>
    </w:p>
    <w:p w14:paraId="48E32A04" w14:textId="77777777" w:rsidR="00756573" w:rsidRPr="00756573" w:rsidRDefault="00756573" w:rsidP="00756573">
      <w:pPr>
        <w:pStyle w:val="paragraph"/>
        <w:numPr>
          <w:ilvl w:val="0"/>
          <w:numId w:val="5"/>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Por iniciativa de las Entidades Territoriales, del IPSE, o de las empresas prestadoras del servicio de energía eléctrica ya sean éstas pertenecientes al Sistema Interconectado Nacional - SIN -, o a las Zonas No Interconectadas - ZNI -. En caso de que los proyectos hagan parte de los esquemas descritos en los numerales 1 y 2, los mismos no podrán ser presentados mediante el mecanismo descrito en este numeral.</w:t>
      </w:r>
    </w:p>
    <w:p w14:paraId="4DCFB956" w14:textId="30CAEAB8" w:rsidR="00756573" w:rsidRPr="00992301" w:rsidRDefault="00992301" w:rsidP="00992301">
      <w:pPr>
        <w:pStyle w:val="paragraph"/>
        <w:spacing w:line="276" w:lineRule="auto"/>
        <w:jc w:val="both"/>
        <w:rPr>
          <w:rStyle w:val="nfasisintenso"/>
        </w:rPr>
      </w:pPr>
      <w:r w:rsidRPr="00992301">
        <w:rPr>
          <w:rStyle w:val="nfasisintenso"/>
        </w:rPr>
        <w:t>Procedimiento</w:t>
      </w:r>
    </w:p>
    <w:p w14:paraId="350608EF"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bookmarkStart w:id="0" w:name="4"/>
      <w:r w:rsidRPr="00756573">
        <w:rPr>
          <w:rFonts w:ascii="Work Sans" w:eastAsia="Work Sans" w:hAnsi="Work Sans" w:cs="Work Sans"/>
          <w:color w:val="000000" w:themeColor="text1"/>
          <w:sz w:val="22"/>
          <w:szCs w:val="22"/>
        </w:rPr>
        <w:t>El Instituto de Planificación y Promoción de Soluciones Energéticas para las Zonas No Interconectadas (IPSE), es la entidad responsable de llevar a cabo la evaluación técnica y financiera de los planes, programas o proyectos de inversión que hayan sido priorizados, ya sea para la construcción e instalación de nueva infraestructura eléctrica o para la reposición y rehabilitación de la ya existente. Esta labor tiene como objetivo ampliar la cobertura del servicio eléctrico y atender la demanda energética en las Zonas No Interconectadas.</w:t>
      </w:r>
    </w:p>
    <w:p w14:paraId="439199DB"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El proceso de evaluación y </w:t>
      </w:r>
      <w:proofErr w:type="spellStart"/>
      <w:r w:rsidRPr="00756573">
        <w:rPr>
          <w:rFonts w:ascii="Work Sans" w:eastAsia="Work Sans" w:hAnsi="Work Sans" w:cs="Work Sans"/>
          <w:color w:val="000000" w:themeColor="text1"/>
          <w:sz w:val="22"/>
          <w:szCs w:val="22"/>
        </w:rPr>
        <w:t>viabilización</w:t>
      </w:r>
      <w:proofErr w:type="spellEnd"/>
      <w:r w:rsidRPr="00756573">
        <w:rPr>
          <w:rFonts w:ascii="Work Sans" w:eastAsia="Work Sans" w:hAnsi="Work Sans" w:cs="Work Sans"/>
          <w:color w:val="000000" w:themeColor="text1"/>
          <w:sz w:val="22"/>
          <w:szCs w:val="22"/>
        </w:rPr>
        <w:t xml:space="preserve"> de los proyectos deberá realizarse en un plazo máximo de 15 días hábiles, contados a partir de su radicación.</w:t>
      </w:r>
    </w:p>
    <w:p w14:paraId="43C84904"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En el caso, de que la evaluación resulte favorable será enviada al Ministerio de Minas y Energía, quien a través del grupo de apoyo técnico y la disponibilidad presupuestal existente, realizará el análisis de este bajo los criterios de asignación de recursos los cuales serán llevados al comité de administración (CAFAZNI) quien tiene la facultad de aprobar, objetar e impartir instrucciones y recomendaciones sobre los proyectos presentados para la financiación de recursos.</w:t>
      </w:r>
    </w:p>
    <w:p w14:paraId="75A5EBDA" w14:textId="225CAC76" w:rsidR="00756573" w:rsidRPr="00992301" w:rsidRDefault="00992301" w:rsidP="00992301">
      <w:pPr>
        <w:pStyle w:val="paragraph"/>
        <w:spacing w:line="276" w:lineRule="auto"/>
        <w:jc w:val="both"/>
        <w:rPr>
          <w:rStyle w:val="nfasisintenso"/>
        </w:rPr>
      </w:pPr>
      <w:r w:rsidRPr="00992301">
        <w:rPr>
          <w:rStyle w:val="nfasisintenso"/>
        </w:rPr>
        <w:t>Requisitos</w:t>
      </w:r>
      <w:bookmarkEnd w:id="0"/>
    </w:p>
    <w:p w14:paraId="7955FC62"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De conformidad con el artículo 4 de la resolución 40378 de 2023, Quienes hagan la presentación de los planes, programas o proyectos que busquen financiarse con cargo a los recursos del Fondo de Apoyo Financiero para la Energización de las Zonas No Interconectadas (FAZNI) deberán entregar en medio físico y/o magnético al Instituto de Planificación y Promoción de Soluciones Energéticas o quien haga de sus veces, la siguiente documentación:</w:t>
      </w:r>
    </w:p>
    <w:p w14:paraId="72C034E8"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lastRenderedPageBreak/>
        <w:t>Carta de presentación para la solicitud de recursos.</w:t>
      </w:r>
    </w:p>
    <w:p w14:paraId="52BAAB7B"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Metodología de Marco Lógico</w:t>
      </w:r>
    </w:p>
    <w:p w14:paraId="5E51699E"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Modelo de sostenibilidad</w:t>
      </w:r>
    </w:p>
    <w:p w14:paraId="744DCDBA"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Análisis de costos y presupuesto</w:t>
      </w:r>
    </w:p>
    <w:p w14:paraId="67DA5805"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Diseños técnicos</w:t>
      </w:r>
    </w:p>
    <w:p w14:paraId="3E6FB6F8"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Renuncia a los derechos de autor</w:t>
      </w:r>
    </w:p>
    <w:p w14:paraId="5ECB2B4C"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de no conexión al SIN</w:t>
      </w:r>
    </w:p>
    <w:p w14:paraId="3348EF55"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de selección de la mejor alternativa</w:t>
      </w:r>
    </w:p>
    <w:p w14:paraId="101258DD"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Usuarios beneficiados</w:t>
      </w:r>
    </w:p>
    <w:p w14:paraId="2AE7C69E"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Cronograma de actividades</w:t>
      </w:r>
    </w:p>
    <w:p w14:paraId="18BB54F2"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Flujo de fondos</w:t>
      </w:r>
    </w:p>
    <w:p w14:paraId="65B68E92"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de que el proyecto no se encuentra ubicado en Zona de Alto Riesgo</w:t>
      </w:r>
    </w:p>
    <w:p w14:paraId="27885BE5"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de Parques Nacionales</w:t>
      </w:r>
    </w:p>
    <w:p w14:paraId="353A2666"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Concepto de pertinencia y oportunidad de consulta previa</w:t>
      </w:r>
    </w:p>
    <w:p w14:paraId="12DFF877"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Acta de socialización con los actores</w:t>
      </w:r>
    </w:p>
    <w:p w14:paraId="354BA5CD"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Diseño social</w:t>
      </w:r>
    </w:p>
    <w:p w14:paraId="322488A2"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Análisis de riesgos</w:t>
      </w:r>
    </w:p>
    <w:p w14:paraId="3E9A7C8D"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Carta de autoridades ambientales</w:t>
      </w:r>
    </w:p>
    <w:p w14:paraId="47A914EC"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manejo predial</w:t>
      </w:r>
    </w:p>
    <w:p w14:paraId="3C948A8F" w14:textId="77777777" w:rsidR="00756573" w:rsidRPr="00756573" w:rsidRDefault="00756573" w:rsidP="00992301">
      <w:pPr>
        <w:pStyle w:val="paragraph"/>
        <w:numPr>
          <w:ilvl w:val="0"/>
          <w:numId w:val="9"/>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Dependiendo del tipo de proyecto deberán presentarse documentos mencionados en los parágrafos del mencionado artículo. </w:t>
      </w:r>
    </w:p>
    <w:p w14:paraId="29946E36" w14:textId="359637CA" w:rsidR="00756573" w:rsidRPr="00992301" w:rsidRDefault="00992301" w:rsidP="00992301">
      <w:pPr>
        <w:pStyle w:val="paragraph"/>
        <w:spacing w:line="276" w:lineRule="auto"/>
        <w:jc w:val="both"/>
        <w:rPr>
          <w:rStyle w:val="nfasisintenso"/>
        </w:rPr>
      </w:pPr>
      <w:bookmarkStart w:id="1" w:name="_Hlk199241608"/>
      <w:r w:rsidRPr="00992301">
        <w:rPr>
          <w:rStyle w:val="nfasisintenso"/>
        </w:rPr>
        <w:t>Canales Establecidos:</w:t>
      </w:r>
    </w:p>
    <w:bookmarkEnd w:id="1"/>
    <w:p w14:paraId="3E54D46D" w14:textId="77777777" w:rsidR="00756573" w:rsidRPr="00756573" w:rsidRDefault="00756573" w:rsidP="00992301">
      <w:pPr>
        <w:pStyle w:val="paragraph"/>
        <w:numPr>
          <w:ilvl w:val="0"/>
          <w:numId w:val="11"/>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Ventanilla de atención al público en la sede principal del IPSE, de lunes a viernes, de 7,00 am. a 4,00 p.m. en horario continuo,</w:t>
      </w:r>
    </w:p>
    <w:p w14:paraId="57662606" w14:textId="77777777" w:rsidR="00756573" w:rsidRPr="00756573" w:rsidRDefault="00756573" w:rsidP="00992301">
      <w:pPr>
        <w:pStyle w:val="paragraph"/>
        <w:numPr>
          <w:ilvl w:val="0"/>
          <w:numId w:val="11"/>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Enviar al correo electrónico </w:t>
      </w:r>
      <w:hyperlink r:id="rId5" w:history="1">
        <w:r w:rsidRPr="00756573">
          <w:rPr>
            <w:rStyle w:val="Hipervnculo"/>
            <w:rFonts w:ascii="Work Sans" w:eastAsia="Work Sans" w:hAnsi="Work Sans" w:cs="Work Sans"/>
            <w:sz w:val="22"/>
            <w:szCs w:val="22"/>
          </w:rPr>
          <w:t>ipse@ipse.gov.co</w:t>
        </w:r>
      </w:hyperlink>
    </w:p>
    <w:p w14:paraId="04CD9883" w14:textId="77777777" w:rsidR="00756573" w:rsidRPr="00756573" w:rsidRDefault="00756573" w:rsidP="00992301">
      <w:pPr>
        <w:pStyle w:val="paragraph"/>
        <w:numPr>
          <w:ilvl w:val="0"/>
          <w:numId w:val="11"/>
        </w:numPr>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Tramite virtual en el enlace </w:t>
      </w:r>
      <w:hyperlink r:id="rId6" w:history="1">
        <w:r w:rsidRPr="00756573">
          <w:rPr>
            <w:rStyle w:val="Hipervnculo"/>
            <w:rFonts w:ascii="Work Sans" w:eastAsia="Work Sans" w:hAnsi="Work Sans" w:cs="Work Sans"/>
            <w:sz w:val="22"/>
            <w:szCs w:val="22"/>
          </w:rPr>
          <w:t>https://ipse.gov.co/mapa-del-sitio/tramites-y-servicios/</w:t>
        </w:r>
      </w:hyperlink>
      <w:r w:rsidRPr="00756573">
        <w:rPr>
          <w:rFonts w:ascii="Work Sans" w:eastAsia="Work Sans" w:hAnsi="Work Sans" w:cs="Work Sans"/>
          <w:color w:val="000000" w:themeColor="text1"/>
          <w:sz w:val="22"/>
          <w:szCs w:val="22"/>
        </w:rPr>
        <w:t xml:space="preserve"> </w:t>
      </w:r>
    </w:p>
    <w:p w14:paraId="5E609562" w14:textId="77777777" w:rsidR="00756573" w:rsidRPr="00992301" w:rsidRDefault="00756573" w:rsidP="00756573">
      <w:pPr>
        <w:pStyle w:val="paragraph"/>
        <w:spacing w:line="276" w:lineRule="auto"/>
        <w:jc w:val="both"/>
        <w:rPr>
          <w:rStyle w:val="nfasisintenso"/>
          <w:b/>
          <w:bCs/>
        </w:rPr>
      </w:pPr>
      <w:r w:rsidRPr="00992301">
        <w:rPr>
          <w:rStyle w:val="nfasisintenso"/>
          <w:b/>
          <w:bCs/>
        </w:rPr>
        <w:t>Fondo de Apoyo Financiero para la Energización de las Zonas Rurales Interconectadas –FAER</w:t>
      </w:r>
    </w:p>
    <w:p w14:paraId="3A4FA87E"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El fondo FAER creado por el Artículo 105 de la Ley 788 de 2002 y reglamentado con el Decreto 1122 de 2008, permite que los Entes Territoriales con el apoyo de las Empresas Prestadoras del Servicio de Energía Eléctrica en la zona de influencia, sean los gestores de planes, programas y proyectos de inversión priorizados para la construcción e instalación de la nueva infraestructura eléctrica. El objetivo es ampliar la cobertura y procurar la satisfacción de la demanda de energía en las zonas rurales interconectadas, conforme con los planes de ampliación de cobertura que estructurarán cada uno de los Operadores </w:t>
      </w:r>
      <w:r w:rsidRPr="00756573">
        <w:rPr>
          <w:rFonts w:ascii="Work Sans" w:eastAsia="Work Sans" w:hAnsi="Work Sans" w:cs="Work Sans"/>
          <w:color w:val="000000" w:themeColor="text1"/>
          <w:sz w:val="22"/>
          <w:szCs w:val="22"/>
        </w:rPr>
        <w:lastRenderedPageBreak/>
        <w:t>de Red y que deberá contar con la viabilidad de la Unidad de Planeación Minero-Energética - UPME.</w:t>
      </w:r>
    </w:p>
    <w:p w14:paraId="1CFFC616" w14:textId="369531CA" w:rsidR="00756573" w:rsidRPr="00992301" w:rsidRDefault="00992301" w:rsidP="00756573">
      <w:pPr>
        <w:pStyle w:val="paragraph"/>
        <w:spacing w:line="276" w:lineRule="auto"/>
        <w:ind w:left="66"/>
        <w:jc w:val="both"/>
        <w:rPr>
          <w:rStyle w:val="nfasisintenso"/>
        </w:rPr>
      </w:pPr>
      <w:r w:rsidRPr="00992301">
        <w:rPr>
          <w:rStyle w:val="nfasisintenso"/>
        </w:rPr>
        <w:t>Procedimiento</w:t>
      </w:r>
    </w:p>
    <w:p w14:paraId="1B5F0B71"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La presentación de proyectos que buscan ser financiados con recursos del FAER deberá realizarse ante la UPME o ante el IPSE, entidades competentes para realizar la evaluación técnica y financiera de los proyectos. En el caso, de que la evaluación resulte favorable será enviada al Ministerio de Minas y Energía, quien a través del grupo de apoyo técnico y la disponibilidad presupuestal existente realizará el análisis de este bajo los criterios de asignación de recursos los cuales serán llevados al comité de administración (CAFAER) quien tiene la facultad de aprobar, objetar e impartir instrucciones y recomendaciones sobre los proyectos presentados para la financiación de recursos.</w:t>
      </w:r>
    </w:p>
    <w:p w14:paraId="2846B289" w14:textId="1EDB1600" w:rsidR="00756573" w:rsidRPr="00992301" w:rsidRDefault="00992301" w:rsidP="00756573">
      <w:pPr>
        <w:pStyle w:val="paragraph"/>
        <w:spacing w:line="276" w:lineRule="auto"/>
        <w:ind w:left="66"/>
        <w:jc w:val="both"/>
        <w:rPr>
          <w:rStyle w:val="nfasisintenso"/>
        </w:rPr>
      </w:pPr>
      <w:r w:rsidRPr="00992301">
        <w:rPr>
          <w:rStyle w:val="nfasisintenso"/>
        </w:rPr>
        <w:t>Requisitos</w:t>
      </w:r>
    </w:p>
    <w:p w14:paraId="3B3C0C5C"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Para la presentación de los planes, programas o proyectos que busquen financiarse con cargo a los recursos del Fondo de Apoyo Financiero para la Energización de las Zonas Rurales Interconectadas, FAER, los requisitos son:</w:t>
      </w:r>
    </w:p>
    <w:p w14:paraId="09B2F00E"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Carta de presentación con la solicitud de recursos</w:t>
      </w:r>
    </w:p>
    <w:p w14:paraId="30AFF944"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Registro BPIN</w:t>
      </w:r>
    </w:p>
    <w:p w14:paraId="69FA77AC"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Aval Técnico y Financiero del Operador de Red</w:t>
      </w:r>
    </w:p>
    <w:p w14:paraId="48CDF6BF"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Renuncia a los derechos de autor</w:t>
      </w:r>
    </w:p>
    <w:p w14:paraId="207FE17E"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Análisis de costos y presupuesto</w:t>
      </w:r>
    </w:p>
    <w:p w14:paraId="64FA6C06"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Diseños técnicos </w:t>
      </w:r>
    </w:p>
    <w:p w14:paraId="760F066E"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Selección Mejor Alternativa</w:t>
      </w:r>
    </w:p>
    <w:p w14:paraId="3976AB8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de activos existentes</w:t>
      </w:r>
    </w:p>
    <w:p w14:paraId="189E9CAE"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Listado de usuarios beneficiados</w:t>
      </w:r>
    </w:p>
    <w:p w14:paraId="17ED7BC1"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Cronograma </w:t>
      </w:r>
    </w:p>
    <w:p w14:paraId="0CB16BF7"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Flujo de fondos</w:t>
      </w:r>
    </w:p>
    <w:p w14:paraId="0D8795D6"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Certificado de que el proyecto no está ubicado en zona de alto riesgo</w:t>
      </w:r>
    </w:p>
    <w:p w14:paraId="258BE19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de Parques Nacionales</w:t>
      </w:r>
    </w:p>
    <w:p w14:paraId="02598C0A"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Concepto de pertinencia y oportunidad de consulta previa</w:t>
      </w:r>
    </w:p>
    <w:p w14:paraId="405E019F"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Acta de socialización</w:t>
      </w:r>
    </w:p>
    <w:p w14:paraId="71710E1F"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Diseño Social</w:t>
      </w:r>
    </w:p>
    <w:p w14:paraId="1937B88B"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Análisis de riesgos </w:t>
      </w:r>
    </w:p>
    <w:p w14:paraId="09AF7AF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Carta a autoridades ambientales</w:t>
      </w:r>
    </w:p>
    <w:p w14:paraId="2C0C769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Planes de manejo ambiental, forestal y compensaciones</w:t>
      </w:r>
    </w:p>
    <w:p w14:paraId="752DA503" w14:textId="77777777" w:rsidR="00756573" w:rsidRPr="00756573" w:rsidRDefault="00756573" w:rsidP="00992301">
      <w:pPr>
        <w:pStyle w:val="paragraph"/>
        <w:numPr>
          <w:ilvl w:val="0"/>
          <w:numId w:val="10"/>
        </w:numPr>
        <w:spacing w:line="276" w:lineRule="auto"/>
        <w:ind w:left="709"/>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Certificación predial</w:t>
      </w:r>
    </w:p>
    <w:p w14:paraId="73206C75" w14:textId="03ED225D" w:rsidR="00756573" w:rsidRPr="00992301" w:rsidRDefault="00992301" w:rsidP="00756573">
      <w:pPr>
        <w:pStyle w:val="paragraph"/>
        <w:spacing w:line="276" w:lineRule="auto"/>
        <w:jc w:val="both"/>
        <w:rPr>
          <w:rStyle w:val="nfasisintenso"/>
        </w:rPr>
      </w:pPr>
      <w:r w:rsidRPr="00992301">
        <w:rPr>
          <w:rStyle w:val="nfasisintenso"/>
        </w:rPr>
        <w:lastRenderedPageBreak/>
        <w:t>Canales establecidos</w:t>
      </w:r>
    </w:p>
    <w:p w14:paraId="633EC0EA" w14:textId="0D67EF5A"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El registro de proyectos de generación de energía eléctrica financiados con recursos del FAER, puede realizarse a través del Sistema Único de Usuarios de la UPME, una plataforma que permite la autogestión en línea de trámites y servicios ante esta entidad.</w:t>
      </w:r>
    </w:p>
    <w:p w14:paraId="797BCF09"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El acceso a la ventanilla virtual está disponible en el siguiente enlace: </w:t>
      </w:r>
      <w:hyperlink r:id="rId7" w:history="1">
        <w:r w:rsidRPr="00756573">
          <w:rPr>
            <w:rStyle w:val="Hipervnculo"/>
            <w:rFonts w:ascii="Work Sans" w:eastAsia="Work Sans" w:hAnsi="Work Sans" w:cs="Work Sans"/>
            <w:sz w:val="22"/>
            <w:szCs w:val="22"/>
          </w:rPr>
          <w:t>https://www.upme.gov.co/ventanilla-unica-de-tramites-y-servicios/sistema-unico-de-usuarios/</w:t>
        </w:r>
      </w:hyperlink>
      <w:r w:rsidRPr="00756573">
        <w:rPr>
          <w:rFonts w:ascii="Work Sans" w:eastAsia="Work Sans" w:hAnsi="Work Sans" w:cs="Work Sans"/>
          <w:color w:val="000000" w:themeColor="text1"/>
          <w:sz w:val="22"/>
          <w:szCs w:val="22"/>
        </w:rPr>
        <w:t xml:space="preserve"> </w:t>
      </w:r>
    </w:p>
    <w:p w14:paraId="1DC27A0B" w14:textId="77777777" w:rsidR="00756573" w:rsidRPr="00992301" w:rsidRDefault="00756573" w:rsidP="00756573">
      <w:pPr>
        <w:pStyle w:val="paragraph"/>
        <w:spacing w:line="276" w:lineRule="auto"/>
        <w:ind w:left="66"/>
        <w:jc w:val="both"/>
        <w:rPr>
          <w:rStyle w:val="nfasisintenso"/>
          <w:b/>
          <w:bCs/>
        </w:rPr>
      </w:pPr>
      <w:r w:rsidRPr="00992301">
        <w:rPr>
          <w:rStyle w:val="nfasisintenso"/>
          <w:b/>
          <w:bCs/>
        </w:rPr>
        <w:t>Programa de Normalización de Redes Eléctricas –PRONE </w:t>
      </w:r>
    </w:p>
    <w:p w14:paraId="48D0AF85"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El fondo PRONE, consiste en la financiación por parte del Gobierno Nacional, de aquellos planes, programas o proyectos elegibles, de conformidad con las reglas establecidas en el Decreto 1073 de 2015 y las normas que lo complementan, tales como el Decreto 1023 de 2024. </w:t>
      </w:r>
    </w:p>
    <w:p w14:paraId="08EA4BA6"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Este programa, en materia de normalización de redes eléctricas, tiene por objeto, no solo la legalización de usuarios y la adecuación de las redes a los reglamentos técnicos vigentes en barrios subnormales situados en municipios del Sistema Interconectado Nacional (SIN), sino, además, la instalación de Sistemas de Autogeneración a Pequeña Escala (AGPE) a partir de Fuentes No Convencionales de Energía (FNCE), igualmente, situados en municipios del Sistema Interconectado Nacional (SIN).</w:t>
      </w:r>
    </w:p>
    <w:p w14:paraId="1F64D9FA" w14:textId="7FAF3989" w:rsidR="00756573" w:rsidRPr="00992301" w:rsidRDefault="00992301" w:rsidP="00756573">
      <w:pPr>
        <w:pStyle w:val="paragraph"/>
        <w:spacing w:line="276" w:lineRule="auto"/>
        <w:jc w:val="both"/>
        <w:rPr>
          <w:rStyle w:val="nfasisintenso"/>
        </w:rPr>
      </w:pPr>
      <w:r w:rsidRPr="00992301">
        <w:rPr>
          <w:rStyle w:val="nfasisintenso"/>
        </w:rPr>
        <w:t>Procedimiento</w:t>
      </w:r>
    </w:p>
    <w:p w14:paraId="7B0B07E9"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Para obtener financiación del Programa de Normalización de Redes Eléctricas, los Operadores de Red serán los encargados de estructurar proyectos de normalización de redes eléctricas en barrios subnormales y estos serán presentados a las convocatorias PRONE que realice el Ministerio de Minas y Energía; el área técnica del Ministerio realizará la evaluación técnica y financiera del proyecto y si cumple con los requerimientos previstos en la resolución de la convocatoria, el proyecto será presentado al comité de administración del fondo (CAPRONE) para que determinen la asignación de recursos. </w:t>
      </w:r>
    </w:p>
    <w:p w14:paraId="713B6968"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La cantidad de convocatorias a realizar en cada vigencia depende de los recursos asignados por el Ministerio de Hacienda al fondo PRONE.   </w:t>
      </w:r>
    </w:p>
    <w:p w14:paraId="0F47AD0D" w14:textId="543B12B3" w:rsidR="00756573" w:rsidRPr="00992301" w:rsidRDefault="00992301" w:rsidP="00756573">
      <w:pPr>
        <w:pStyle w:val="paragraph"/>
        <w:spacing w:line="276" w:lineRule="auto"/>
        <w:jc w:val="both"/>
        <w:rPr>
          <w:rStyle w:val="nfasisintenso"/>
        </w:rPr>
      </w:pPr>
      <w:r w:rsidRPr="00992301">
        <w:rPr>
          <w:rStyle w:val="nfasisintenso"/>
        </w:rPr>
        <w:t>Requisitos</w:t>
      </w:r>
    </w:p>
    <w:p w14:paraId="4BC67F59"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Teniendo en cuenta que este fondo se encuentra sujeto a la realización de convocatorias, el Decreto 1073 de 2015 señala que en cada convocatoria se deben </w:t>
      </w:r>
      <w:r w:rsidRPr="00756573">
        <w:rPr>
          <w:rFonts w:ascii="Work Sans" w:eastAsia="Work Sans" w:hAnsi="Work Sans" w:cs="Work Sans"/>
          <w:color w:val="000000" w:themeColor="text1"/>
          <w:sz w:val="22"/>
          <w:szCs w:val="22"/>
        </w:rPr>
        <w:lastRenderedPageBreak/>
        <w:t>establecer los requisitos, plazos y condiciones para la priorización y ejecución de los planes, programas y proyectos del PRONE, conforme lo dispone la Ley 1117 de 2006.</w:t>
      </w:r>
    </w:p>
    <w:p w14:paraId="191058F1" w14:textId="62165FD1" w:rsidR="00756573" w:rsidRPr="00992301" w:rsidRDefault="00992301" w:rsidP="00756573">
      <w:pPr>
        <w:pStyle w:val="paragraph"/>
        <w:spacing w:line="276" w:lineRule="auto"/>
        <w:jc w:val="both"/>
        <w:rPr>
          <w:rStyle w:val="nfasisintenso"/>
        </w:rPr>
      </w:pPr>
      <w:r w:rsidRPr="00992301">
        <w:rPr>
          <w:rStyle w:val="nfasisintenso"/>
        </w:rPr>
        <w:t>Canales Establecidos</w:t>
      </w:r>
    </w:p>
    <w:p w14:paraId="2330E6B3"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Cada convocatoria del Programa de Normalización de Redes Eléctricas – PRONE establece de manera específica los canales habilitados para la recepción de proyectos que serán objeto de evaluación. Dichos canales son definidos y comunicados por el Ministerio de Minas y Energía en los términos de referencia de cada convocatoria.</w:t>
      </w:r>
    </w:p>
    <w:p w14:paraId="260F3001" w14:textId="77777777" w:rsidR="00756573" w:rsidRPr="00756573" w:rsidRDefault="00756573" w:rsidP="00756573">
      <w:pPr>
        <w:pStyle w:val="paragraph"/>
        <w:spacing w:line="276" w:lineRule="auto"/>
        <w:ind w:left="66"/>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El canal por el cual se informa a la ciudadanía acerca de los procesos que lleva a cabo este Ministerio es su página web</w:t>
      </w:r>
      <w:r w:rsidRPr="00756573">
        <w:rPr>
          <w:rFonts w:ascii="Work Sans" w:eastAsia="Work Sans" w:hAnsi="Work Sans" w:cs="Work Sans"/>
          <w:b/>
          <w:bCs/>
          <w:color w:val="000000" w:themeColor="text1"/>
          <w:sz w:val="22"/>
          <w:szCs w:val="22"/>
        </w:rPr>
        <w:t xml:space="preserve"> </w:t>
      </w:r>
      <w:hyperlink r:id="rId8" w:tgtFrame="_blank" w:history="1">
        <w:r w:rsidRPr="00756573">
          <w:rPr>
            <w:rStyle w:val="Hipervnculo"/>
            <w:rFonts w:ascii="Work Sans" w:eastAsia="Work Sans" w:hAnsi="Work Sans" w:cs="Work Sans"/>
            <w:b/>
            <w:bCs/>
            <w:sz w:val="22"/>
            <w:szCs w:val="22"/>
          </w:rPr>
          <w:t>https://www.minenergia.gov.co/es/</w:t>
        </w:r>
      </w:hyperlink>
      <w:r w:rsidRPr="00756573">
        <w:rPr>
          <w:rFonts w:ascii="Work Sans" w:eastAsia="Work Sans" w:hAnsi="Work Sans" w:cs="Work Sans"/>
          <w:b/>
          <w:bCs/>
          <w:color w:val="000000" w:themeColor="text1"/>
          <w:sz w:val="22"/>
          <w:szCs w:val="22"/>
        </w:rPr>
        <w:t xml:space="preserve">, </w:t>
      </w:r>
      <w:r w:rsidRPr="00756573">
        <w:rPr>
          <w:rFonts w:ascii="Work Sans" w:eastAsia="Work Sans" w:hAnsi="Work Sans" w:cs="Work Sans"/>
          <w:color w:val="000000" w:themeColor="text1"/>
          <w:sz w:val="22"/>
          <w:szCs w:val="22"/>
        </w:rPr>
        <w:t>allí se encuentran los requisitos y el proceso a realizar en cada uno de los fondos mencionados. Así mismo, en cada convocatoria se establecen los canales para la presentación de proyectos.</w:t>
      </w:r>
    </w:p>
    <w:p w14:paraId="2FB15B13" w14:textId="77777777" w:rsidR="00756573" w:rsidRPr="00992301" w:rsidRDefault="00756573" w:rsidP="00756573">
      <w:pPr>
        <w:ind w:right="51"/>
        <w:contextualSpacing/>
        <w:jc w:val="both"/>
        <w:rPr>
          <w:rStyle w:val="nfasisintenso"/>
          <w:b/>
          <w:bCs/>
          <w:lang w:eastAsia="es-CO"/>
        </w:rPr>
      </w:pPr>
      <w:r w:rsidRPr="00992301">
        <w:rPr>
          <w:rStyle w:val="nfasisintenso"/>
          <w:b/>
          <w:bCs/>
          <w:lang w:eastAsia="es-CO"/>
        </w:rPr>
        <w:t>Mecanismo de Obras por Impuestos para proyectos de energización eléctrica</w:t>
      </w:r>
    </w:p>
    <w:p w14:paraId="41FFB108" w14:textId="77777777" w:rsidR="00756573" w:rsidRPr="00756573" w:rsidRDefault="00756573" w:rsidP="00756573">
      <w:pPr>
        <w:ind w:right="51"/>
        <w:contextualSpacing/>
        <w:jc w:val="both"/>
        <w:rPr>
          <w:rFonts w:ascii="Work Sans" w:eastAsia="Work Sans" w:hAnsi="Work Sans" w:cs="Work Sans"/>
          <w:b/>
          <w:bCs/>
          <w:color w:val="000000" w:themeColor="text1"/>
          <w:sz w:val="22"/>
          <w:szCs w:val="22"/>
          <w:lang w:eastAsia="es-CO"/>
        </w:rPr>
      </w:pPr>
    </w:p>
    <w:p w14:paraId="0937648A"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t>El mecanismo de Obras por Impuestos permite que las empresas contribuyentes del impuesto sobre la renta inviertan directamente en proyectos que buscan mejorar la calidad de vida de las comunidades, en lugar de pagar una parte de sus impuestos al Estado de forma tradicional. En el caso del sector eléctrico, este mecanismo permite financiar la construcción, ampliación o mejoramiento de la infraestructura eléctrica en zonas rurales, apartadas o de difícil acceso, con el fin de garantizar el acceso al servicio de energía.</w:t>
      </w:r>
    </w:p>
    <w:p w14:paraId="2D18B370"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27A89719"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t>Este mecanismo facilita la ejecución de proyectos de electrificación en territorios históricamente excluidos, al tiempo que promueve la participación del sector privado en el cierre de brechas sociales y en el desarrollo regional con enfoque territorial y sostenible.</w:t>
      </w:r>
    </w:p>
    <w:p w14:paraId="09B95188"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257991C5" w14:textId="7901CADA" w:rsidR="00756573" w:rsidRPr="00992301" w:rsidRDefault="00992301" w:rsidP="00756573">
      <w:pPr>
        <w:ind w:right="51"/>
        <w:contextualSpacing/>
        <w:jc w:val="both"/>
        <w:rPr>
          <w:rStyle w:val="nfasisintenso"/>
          <w:lang w:eastAsia="es-CO"/>
        </w:rPr>
      </w:pPr>
      <w:r w:rsidRPr="00992301">
        <w:rPr>
          <w:rStyle w:val="nfasisintenso"/>
          <w:lang w:eastAsia="es-CO"/>
        </w:rPr>
        <w:t>Procedimiento</w:t>
      </w:r>
    </w:p>
    <w:p w14:paraId="43D9F15B"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1B0D1224"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t>Los Entes Territoriales, con el apoyo de las Empresas Prestadoras del Servicio de Energía Eléctrica o los Operadores de Red, identifican las necesidades locales y estructuran proyectos que luego son presentados al Ministerio de Minas y Energía. La propuesta también puede ser revisada por entidades como el IPSE, en caso de que contemple soluciones energéticas con Fuentes no Convencionales de Energía Renovable -FNCER- o esté ubicada en una zona no interconectada.</w:t>
      </w:r>
    </w:p>
    <w:p w14:paraId="5F7DC000"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763BA06E"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lastRenderedPageBreak/>
        <w:t>Una vez estructurado y registrado, el proyecto se incluye en el Banco de Proyectos de Obras por Impuestos y queda disponible para ser seleccionado por las empresas interesadas en financiarlo. Estas empresas asumen los costos de ejecución del proyecto y, a cambio, reciben un descuento equivalente en su impuesto de renta.</w:t>
      </w:r>
    </w:p>
    <w:p w14:paraId="68869365"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p>
    <w:p w14:paraId="0DD17837" w14:textId="77777777" w:rsidR="00756573" w:rsidRPr="00756573" w:rsidRDefault="00756573" w:rsidP="00756573">
      <w:pPr>
        <w:ind w:right="51"/>
        <w:contextualSpacing/>
        <w:jc w:val="both"/>
        <w:rPr>
          <w:rFonts w:ascii="Work Sans" w:eastAsia="Work Sans" w:hAnsi="Work Sans" w:cs="Work Sans"/>
          <w:color w:val="000000" w:themeColor="text1"/>
          <w:sz w:val="22"/>
          <w:szCs w:val="22"/>
          <w:lang w:eastAsia="es-CO"/>
        </w:rPr>
      </w:pPr>
      <w:r w:rsidRPr="00756573">
        <w:rPr>
          <w:rFonts w:ascii="Work Sans" w:eastAsia="Work Sans" w:hAnsi="Work Sans" w:cs="Work Sans"/>
          <w:color w:val="000000" w:themeColor="text1"/>
          <w:sz w:val="22"/>
          <w:szCs w:val="22"/>
          <w:lang w:eastAsia="es-CO"/>
        </w:rPr>
        <w:t>El Ministerio de Minas y Energía, como entidad competente del sector, revisa el cumplimiento de los requisitos técnicos, financieros y legales del proyecto. Una vez ejecutado, se verifica que la obra cumpla con los estándares de calidad y se formaliza su entrega a las autoridades locales o al operador del servicio, para que entre en operación y beneficie a la comunidad.</w:t>
      </w:r>
    </w:p>
    <w:p w14:paraId="37FD8663" w14:textId="59E6CE63" w:rsidR="00756573" w:rsidRPr="00992301" w:rsidRDefault="00992301" w:rsidP="00756573">
      <w:pPr>
        <w:pStyle w:val="paragraph"/>
        <w:spacing w:line="276" w:lineRule="auto"/>
        <w:jc w:val="both"/>
        <w:rPr>
          <w:rStyle w:val="nfasisintenso"/>
        </w:rPr>
      </w:pPr>
      <w:r w:rsidRPr="00992301">
        <w:rPr>
          <w:rStyle w:val="nfasisintenso"/>
        </w:rPr>
        <w:t>Canales Establecidos</w:t>
      </w:r>
    </w:p>
    <w:p w14:paraId="1419447B"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 xml:space="preserve">Los contribuyentes interesados podrán realizar la solicitud de manifestación de interés para seleccionar y ejecutar proyectos del Banco de Proyectos de Inversión de Obras por Impuestos a través del siguiente enlace: </w:t>
      </w:r>
      <w:hyperlink r:id="rId9" w:history="1">
        <w:r w:rsidRPr="00756573">
          <w:rPr>
            <w:rStyle w:val="Hipervnculo"/>
            <w:rFonts w:ascii="Work Sans" w:eastAsia="Work Sans" w:hAnsi="Work Sans" w:cs="Work Sans"/>
            <w:sz w:val="22"/>
            <w:szCs w:val="22"/>
          </w:rPr>
          <w:t>https://obrasporimpuestos.renovacionterritorio.gov.co/ObrasImpuestos</w:t>
        </w:r>
      </w:hyperlink>
      <w:r w:rsidRPr="00756573">
        <w:rPr>
          <w:rFonts w:ascii="Work Sans" w:eastAsia="Work Sans" w:hAnsi="Work Sans" w:cs="Work Sans"/>
          <w:color w:val="000000" w:themeColor="text1"/>
          <w:sz w:val="22"/>
          <w:szCs w:val="22"/>
        </w:rPr>
        <w:t xml:space="preserve"> </w:t>
      </w:r>
    </w:p>
    <w:p w14:paraId="2864E539" w14:textId="77777777" w:rsidR="00756573" w:rsidRPr="00756573" w:rsidRDefault="00756573" w:rsidP="00756573">
      <w:pPr>
        <w:pStyle w:val="paragraph"/>
        <w:spacing w:line="276" w:lineRule="auto"/>
        <w:jc w:val="both"/>
        <w:rPr>
          <w:rFonts w:ascii="Work Sans" w:eastAsia="Work Sans" w:hAnsi="Work Sans" w:cs="Work Sans"/>
          <w:color w:val="000000" w:themeColor="text1"/>
          <w:sz w:val="22"/>
          <w:szCs w:val="22"/>
        </w:rPr>
      </w:pPr>
      <w:r w:rsidRPr="00756573">
        <w:rPr>
          <w:rFonts w:ascii="Work Sans" w:eastAsia="Work Sans" w:hAnsi="Work Sans" w:cs="Work Sans"/>
          <w:color w:val="000000" w:themeColor="text1"/>
          <w:sz w:val="22"/>
          <w:szCs w:val="22"/>
        </w:rPr>
        <w:t>Finalmente, recordamos que el compromiso por parte del Ministerio de Minas y Energía es continuar con la formulación y adopción de políticas dirigidas al aprovechamiento sostenible de los recursos mineros y energéticos para contribuir con el desarrollo económico y social del país.</w:t>
      </w:r>
    </w:p>
    <w:p w14:paraId="524E4C78" w14:textId="5DF53CBB" w:rsidR="00180AD7" w:rsidRPr="00756573" w:rsidRDefault="00180AD7" w:rsidP="002312A1">
      <w:pPr>
        <w:jc w:val="both"/>
        <w:rPr>
          <w:rFonts w:ascii="Work Sans" w:hAnsi="Work Sans" w:cs="Arial"/>
          <w:sz w:val="22"/>
          <w:szCs w:val="22"/>
        </w:rPr>
      </w:pPr>
      <w:r w:rsidRPr="00756573">
        <w:rPr>
          <w:rFonts w:ascii="Work Sans" w:hAnsi="Work Sans" w:cs="Arial"/>
          <w:sz w:val="22"/>
          <w:szCs w:val="22"/>
        </w:rPr>
        <w:t xml:space="preserve">Conforme a lo anterior, </w:t>
      </w:r>
      <w:r w:rsidR="00A23F50">
        <w:rPr>
          <w:rFonts w:ascii="Work Sans" w:hAnsi="Work Sans" w:cs="Arial"/>
          <w:sz w:val="22"/>
          <w:szCs w:val="22"/>
        </w:rPr>
        <w:t>a</w:t>
      </w:r>
      <w:r w:rsidRPr="00756573">
        <w:rPr>
          <w:rFonts w:ascii="Work Sans" w:hAnsi="Work Sans" w:cs="Arial"/>
          <w:sz w:val="22"/>
          <w:szCs w:val="22"/>
        </w:rPr>
        <w:t xml:space="preserve"> continuación, se expone la ruta institucional, el marco de competencias y el alcance de la información correspondiente a cada </w:t>
      </w:r>
      <w:r w:rsidRPr="00756573">
        <w:rPr>
          <w:rFonts w:ascii="Work Sans" w:hAnsi="Work Sans" w:cs="Arial"/>
          <w:sz w:val="22"/>
          <w:szCs w:val="22"/>
        </w:rPr>
        <w:t>fase</w:t>
      </w:r>
      <w:r w:rsidRPr="00756573">
        <w:rPr>
          <w:rFonts w:ascii="Work Sans" w:hAnsi="Work Sans" w:cs="Arial"/>
          <w:sz w:val="22"/>
          <w:szCs w:val="22"/>
        </w:rPr>
        <w:t>:</w:t>
      </w:r>
    </w:p>
    <w:p w14:paraId="258ED26C" w14:textId="144E6964" w:rsidR="00C25F8C" w:rsidRPr="00756573" w:rsidRDefault="00CB43D1" w:rsidP="00C25F8C">
      <w:pPr>
        <w:pStyle w:val="Prrafodelista"/>
        <w:numPr>
          <w:ilvl w:val="0"/>
          <w:numId w:val="4"/>
        </w:numPr>
        <w:jc w:val="both"/>
        <w:rPr>
          <w:rFonts w:ascii="Work Sans" w:hAnsi="Work Sans" w:cs="Arial"/>
          <w:b/>
          <w:bCs/>
          <w:sz w:val="22"/>
          <w:szCs w:val="22"/>
        </w:rPr>
      </w:pPr>
      <w:r w:rsidRPr="00756573">
        <w:rPr>
          <w:rFonts w:ascii="Work Sans" w:hAnsi="Work Sans" w:cs="Arial"/>
          <w:b/>
          <w:bCs/>
          <w:sz w:val="22"/>
          <w:szCs w:val="22"/>
        </w:rPr>
        <w:t>Formulación</w:t>
      </w:r>
      <w:r w:rsidRPr="00756573">
        <w:rPr>
          <w:rFonts w:ascii="Work Sans" w:hAnsi="Work Sans" w:cs="Arial"/>
          <w:b/>
          <w:bCs/>
          <w:sz w:val="22"/>
          <w:szCs w:val="22"/>
        </w:rPr>
        <w:t xml:space="preserve"> y Estructuración: </w:t>
      </w:r>
      <w:r w:rsidR="007A4104" w:rsidRPr="00756573">
        <w:rPr>
          <w:rFonts w:ascii="Work Sans" w:hAnsi="Work Sans" w:cs="Arial"/>
          <w:sz w:val="22"/>
          <w:szCs w:val="22"/>
        </w:rPr>
        <w:t>Se precisa que la formulación y estructuración de los proyectos del sector eléctrico son responsabilidad de los Entes Territoriales y de los Operadores de Red (OR) dentro de su área de influencia. En consecuencia, se sugiere trasladar dicha solicitud a las alcaldías municipales, a la Gobernación del Meta y a la Electrificadora del Meta S.A. E.S.P. (EMSA), con el fin de consultar si actualmente cuentan con proyectos en fase de formulación o estructuración orientados a la ampliación de cobertura, mejoramiento de infraestructura y/o normalización de redes en barrios subnormales.</w:t>
      </w:r>
      <w:r w:rsidR="00A23F50">
        <w:rPr>
          <w:rFonts w:ascii="Work Sans" w:hAnsi="Work Sans" w:cs="Arial"/>
          <w:sz w:val="22"/>
          <w:szCs w:val="22"/>
        </w:rPr>
        <w:t xml:space="preserve"> Es pertinente recalcar que esto aplica para proyectos que sean financiados por FAZNI, FAER, PRONE y OXI. </w:t>
      </w:r>
    </w:p>
    <w:p w14:paraId="71199933" w14:textId="3F685C07" w:rsidR="007A4104" w:rsidRPr="00756573" w:rsidRDefault="00CB43D1" w:rsidP="007A4104">
      <w:pPr>
        <w:pStyle w:val="Prrafodelista"/>
        <w:numPr>
          <w:ilvl w:val="0"/>
          <w:numId w:val="4"/>
        </w:numPr>
        <w:jc w:val="both"/>
        <w:rPr>
          <w:rFonts w:ascii="Work Sans" w:hAnsi="Work Sans" w:cs="Arial"/>
          <w:sz w:val="22"/>
          <w:szCs w:val="22"/>
        </w:rPr>
      </w:pPr>
      <w:r w:rsidRPr="00756573">
        <w:rPr>
          <w:rFonts w:ascii="Work Sans" w:hAnsi="Work Sans" w:cs="Arial"/>
          <w:b/>
          <w:bCs/>
          <w:sz w:val="22"/>
          <w:szCs w:val="22"/>
        </w:rPr>
        <w:t>Viabilización</w:t>
      </w:r>
      <w:r w:rsidRPr="00756573">
        <w:rPr>
          <w:rFonts w:ascii="Work Sans" w:hAnsi="Work Sans" w:cs="Arial"/>
          <w:b/>
          <w:bCs/>
          <w:sz w:val="22"/>
          <w:szCs w:val="22"/>
        </w:rPr>
        <w:t xml:space="preserve">: </w:t>
      </w:r>
      <w:r w:rsidR="007A4104" w:rsidRPr="00756573">
        <w:rPr>
          <w:rFonts w:ascii="Work Sans" w:hAnsi="Work Sans" w:cs="Arial"/>
          <w:sz w:val="22"/>
          <w:szCs w:val="22"/>
        </w:rPr>
        <w:t xml:space="preserve">Teniendo en cuenta que el Ministerio de Minas y Energía no realiza la </w:t>
      </w:r>
      <w:proofErr w:type="spellStart"/>
      <w:r w:rsidR="007A4104" w:rsidRPr="00756573">
        <w:rPr>
          <w:rFonts w:ascii="Work Sans" w:hAnsi="Work Sans" w:cs="Arial"/>
          <w:sz w:val="22"/>
          <w:szCs w:val="22"/>
        </w:rPr>
        <w:t>viabilización</w:t>
      </w:r>
      <w:proofErr w:type="spellEnd"/>
      <w:r w:rsidR="007A4104" w:rsidRPr="00756573">
        <w:rPr>
          <w:rFonts w:ascii="Work Sans" w:hAnsi="Work Sans" w:cs="Arial"/>
          <w:sz w:val="22"/>
          <w:szCs w:val="22"/>
        </w:rPr>
        <w:t xml:space="preserve"> técnica y financiera de los proyectos con cargo a los fondos FAZNI y FAER, por lo tanto, no es la instancia donde los entes territoriales y operadores de red radican dichas iniciativas para evaluación</w:t>
      </w:r>
      <w:r w:rsidR="00180AD7" w:rsidRPr="00756573">
        <w:rPr>
          <w:rFonts w:ascii="Work Sans" w:hAnsi="Work Sans" w:cs="Arial"/>
          <w:sz w:val="22"/>
          <w:szCs w:val="22"/>
        </w:rPr>
        <w:t xml:space="preserve">. Es por esto </w:t>
      </w:r>
      <w:proofErr w:type="gramStart"/>
      <w:r w:rsidR="00180AD7" w:rsidRPr="00756573">
        <w:rPr>
          <w:rFonts w:ascii="Work Sans" w:hAnsi="Work Sans" w:cs="Arial"/>
          <w:sz w:val="22"/>
          <w:szCs w:val="22"/>
        </w:rPr>
        <w:t>que</w:t>
      </w:r>
      <w:proofErr w:type="gramEnd"/>
      <w:r w:rsidR="007A4104" w:rsidRPr="00756573">
        <w:rPr>
          <w:rFonts w:ascii="Work Sans" w:hAnsi="Work Sans" w:cs="Arial"/>
          <w:sz w:val="22"/>
          <w:szCs w:val="22"/>
        </w:rPr>
        <w:t xml:space="preserve"> se sugiere remitir la consulta al IPSE y a la UPME para que atiendan de fondo este requerimiento.</w:t>
      </w:r>
    </w:p>
    <w:p w14:paraId="3A9D2C12" w14:textId="77777777" w:rsidR="00A23F50" w:rsidRDefault="00A23F50" w:rsidP="00A23F50">
      <w:pPr>
        <w:pStyle w:val="Prrafodelista"/>
        <w:jc w:val="both"/>
        <w:rPr>
          <w:rFonts w:ascii="Work Sans" w:hAnsi="Work Sans" w:cs="Arial"/>
          <w:sz w:val="22"/>
          <w:szCs w:val="22"/>
        </w:rPr>
      </w:pPr>
    </w:p>
    <w:p w14:paraId="1E639E3B" w14:textId="1A133045" w:rsidR="00A23F50" w:rsidRPr="00756573" w:rsidRDefault="00A23F50" w:rsidP="00A23F50">
      <w:pPr>
        <w:pStyle w:val="Prrafodelista"/>
        <w:jc w:val="both"/>
        <w:rPr>
          <w:rFonts w:ascii="Work Sans" w:hAnsi="Work Sans" w:cs="Arial"/>
          <w:sz w:val="22"/>
          <w:szCs w:val="22"/>
        </w:rPr>
      </w:pPr>
      <w:r w:rsidRPr="008421D5">
        <w:rPr>
          <w:rFonts w:ascii="Work Sans" w:hAnsi="Work Sans" w:cs="Arial"/>
          <w:sz w:val="22"/>
          <w:szCs w:val="22"/>
        </w:rPr>
        <w:t>Aunad</w:t>
      </w:r>
      <w:r w:rsidR="009B3DE7" w:rsidRPr="008421D5">
        <w:rPr>
          <w:rFonts w:ascii="Work Sans" w:hAnsi="Work Sans" w:cs="Arial"/>
          <w:sz w:val="22"/>
          <w:szCs w:val="22"/>
        </w:rPr>
        <w:t>o</w:t>
      </w:r>
      <w:r w:rsidRPr="008421D5">
        <w:rPr>
          <w:rFonts w:ascii="Work Sans" w:hAnsi="Work Sans" w:cs="Arial"/>
          <w:sz w:val="22"/>
          <w:szCs w:val="22"/>
        </w:rPr>
        <w:t xml:space="preserve"> lo anterior, los proyectos que se financian por el Mecanismo de Obras por Impuestos deben presentarse a</w:t>
      </w:r>
      <w:r w:rsidR="008421D5" w:rsidRPr="008421D5">
        <w:rPr>
          <w:rFonts w:ascii="Work Sans" w:hAnsi="Work Sans" w:cs="Arial"/>
          <w:sz w:val="22"/>
          <w:szCs w:val="22"/>
        </w:rPr>
        <w:t xml:space="preserve"> Agencia de Renovación del Territorio </w:t>
      </w:r>
      <w:r w:rsidRPr="008421D5">
        <w:rPr>
          <w:rFonts w:ascii="Work Sans" w:hAnsi="Work Sans" w:cs="Arial"/>
          <w:sz w:val="22"/>
          <w:szCs w:val="22"/>
        </w:rPr>
        <w:t xml:space="preserve">para que este realice la articulación con el Ministerio de Minas y Energía como entidad sectorial competente para que realice la </w:t>
      </w:r>
      <w:proofErr w:type="spellStart"/>
      <w:r w:rsidRPr="008421D5">
        <w:rPr>
          <w:rFonts w:ascii="Work Sans" w:hAnsi="Work Sans" w:cs="Arial"/>
          <w:sz w:val="22"/>
          <w:szCs w:val="22"/>
        </w:rPr>
        <w:t>viabilización</w:t>
      </w:r>
      <w:proofErr w:type="spellEnd"/>
      <w:r w:rsidRPr="008421D5">
        <w:rPr>
          <w:rFonts w:ascii="Work Sans" w:hAnsi="Work Sans" w:cs="Arial"/>
          <w:sz w:val="22"/>
          <w:szCs w:val="22"/>
        </w:rPr>
        <w:t xml:space="preserve"> técnica </w:t>
      </w:r>
      <w:proofErr w:type="gramStart"/>
      <w:r w:rsidRPr="008421D5">
        <w:rPr>
          <w:rFonts w:ascii="Work Sans" w:hAnsi="Work Sans" w:cs="Arial"/>
          <w:sz w:val="22"/>
          <w:szCs w:val="22"/>
        </w:rPr>
        <w:t>del mismo</w:t>
      </w:r>
      <w:proofErr w:type="gramEnd"/>
      <w:r w:rsidRPr="008421D5">
        <w:rPr>
          <w:rFonts w:ascii="Work Sans" w:hAnsi="Work Sans" w:cs="Arial"/>
          <w:sz w:val="22"/>
          <w:szCs w:val="22"/>
        </w:rPr>
        <w:t xml:space="preserve">. Una vez la </w:t>
      </w:r>
      <w:proofErr w:type="spellStart"/>
      <w:r w:rsidRPr="008421D5">
        <w:rPr>
          <w:rFonts w:ascii="Work Sans" w:hAnsi="Work Sans" w:cs="Arial"/>
          <w:sz w:val="22"/>
          <w:szCs w:val="22"/>
        </w:rPr>
        <w:t>viabilización</w:t>
      </w:r>
      <w:proofErr w:type="spellEnd"/>
      <w:r w:rsidRPr="008421D5">
        <w:rPr>
          <w:rFonts w:ascii="Work Sans" w:hAnsi="Work Sans" w:cs="Arial"/>
          <w:sz w:val="22"/>
          <w:szCs w:val="22"/>
        </w:rPr>
        <w:t xml:space="preserve"> sea positiva, </w:t>
      </w:r>
      <w:r w:rsidR="008421D5" w:rsidRPr="008421D5">
        <w:rPr>
          <w:rFonts w:ascii="Work Sans" w:hAnsi="Work Sans" w:cs="Arial"/>
          <w:sz w:val="22"/>
          <w:szCs w:val="22"/>
        </w:rPr>
        <w:t xml:space="preserve">y el Departamento Nacional de Planeación también de su </w:t>
      </w:r>
      <w:proofErr w:type="spellStart"/>
      <w:r w:rsidR="008421D5" w:rsidRPr="008421D5">
        <w:rPr>
          <w:rFonts w:ascii="Work Sans" w:hAnsi="Work Sans" w:cs="Arial"/>
          <w:sz w:val="22"/>
          <w:szCs w:val="22"/>
        </w:rPr>
        <w:t>viabilización</w:t>
      </w:r>
      <w:proofErr w:type="spellEnd"/>
      <w:r w:rsidR="008421D5" w:rsidRPr="008421D5">
        <w:rPr>
          <w:rFonts w:ascii="Work Sans" w:hAnsi="Work Sans" w:cs="Arial"/>
          <w:sz w:val="22"/>
          <w:szCs w:val="22"/>
        </w:rPr>
        <w:t xml:space="preserve"> </w:t>
      </w:r>
      <w:r w:rsidRPr="008421D5">
        <w:rPr>
          <w:rFonts w:ascii="Work Sans" w:hAnsi="Work Sans" w:cs="Arial"/>
          <w:sz w:val="22"/>
          <w:szCs w:val="22"/>
        </w:rPr>
        <w:t xml:space="preserve">el proyecto se incluye en el Banco de Proyectos del DNP. </w:t>
      </w:r>
      <w:r w:rsidRPr="008421D5">
        <w:rPr>
          <w:rFonts w:ascii="Work Sans" w:hAnsi="Work Sans" w:cs="Arial"/>
          <w:sz w:val="22"/>
          <w:szCs w:val="22"/>
        </w:rPr>
        <w:t xml:space="preserve">Conforme a esto, se informa que actualmente ante el MME no se ha remitido ningún proyecto por parte del DNP para </w:t>
      </w:r>
      <w:proofErr w:type="spellStart"/>
      <w:r w:rsidRPr="008421D5">
        <w:rPr>
          <w:rFonts w:ascii="Work Sans" w:hAnsi="Work Sans" w:cs="Arial"/>
          <w:sz w:val="22"/>
          <w:szCs w:val="22"/>
        </w:rPr>
        <w:t>viabilización</w:t>
      </w:r>
      <w:proofErr w:type="spellEnd"/>
      <w:r w:rsidRPr="008421D5">
        <w:rPr>
          <w:rFonts w:ascii="Work Sans" w:hAnsi="Work Sans" w:cs="Arial"/>
          <w:sz w:val="22"/>
          <w:szCs w:val="22"/>
        </w:rPr>
        <w:t xml:space="preserve">. </w:t>
      </w:r>
      <w:r w:rsidR="009B3DE7" w:rsidRPr="008421D5">
        <w:rPr>
          <w:rFonts w:ascii="Work Sans" w:hAnsi="Work Sans" w:cs="Arial"/>
          <w:sz w:val="22"/>
          <w:szCs w:val="22"/>
        </w:rPr>
        <w:t>Se Recalca que hasta el 3 de agosto está disponible la ventana de tiempo para la aprobación e inclusión de proyectos en el Banco de Proyectos.</w:t>
      </w:r>
    </w:p>
    <w:p w14:paraId="7E173561" w14:textId="77777777" w:rsidR="007A4104" w:rsidRPr="00756573" w:rsidRDefault="007A4104" w:rsidP="007A4104">
      <w:pPr>
        <w:pStyle w:val="Prrafodelista"/>
        <w:jc w:val="both"/>
        <w:rPr>
          <w:rFonts w:ascii="Work Sans" w:hAnsi="Work Sans" w:cs="Arial"/>
          <w:sz w:val="22"/>
          <w:szCs w:val="22"/>
        </w:rPr>
      </w:pPr>
    </w:p>
    <w:p w14:paraId="5F44EDAF" w14:textId="5BD5569D" w:rsidR="007A4104" w:rsidRPr="00756573" w:rsidRDefault="007A4104" w:rsidP="00180AD7">
      <w:pPr>
        <w:pStyle w:val="Prrafodelista"/>
        <w:jc w:val="both"/>
        <w:rPr>
          <w:rFonts w:ascii="Work Sans" w:hAnsi="Work Sans" w:cs="Arial"/>
          <w:sz w:val="22"/>
          <w:szCs w:val="22"/>
        </w:rPr>
      </w:pPr>
      <w:r w:rsidRPr="00756573">
        <w:rPr>
          <w:rFonts w:ascii="Work Sans" w:hAnsi="Work Sans" w:cs="Arial"/>
          <w:sz w:val="22"/>
          <w:szCs w:val="22"/>
        </w:rPr>
        <w:t xml:space="preserve">Respecto al programa PRONE, cuya </w:t>
      </w:r>
      <w:proofErr w:type="spellStart"/>
      <w:r w:rsidRPr="00756573">
        <w:rPr>
          <w:rFonts w:ascii="Work Sans" w:hAnsi="Work Sans" w:cs="Arial"/>
          <w:sz w:val="22"/>
          <w:szCs w:val="22"/>
        </w:rPr>
        <w:t>viabilización</w:t>
      </w:r>
      <w:proofErr w:type="spellEnd"/>
      <w:r w:rsidRPr="00756573">
        <w:rPr>
          <w:rFonts w:ascii="Work Sans" w:hAnsi="Work Sans" w:cs="Arial"/>
          <w:sz w:val="22"/>
          <w:szCs w:val="22"/>
        </w:rPr>
        <w:t xml:space="preserve"> se adelanta mediante las convocatorias públicas expedidas por el Ministerio, se informa que en la vigencia 2026 no se han </w:t>
      </w:r>
      <w:proofErr w:type="spellStart"/>
      <w:r w:rsidRPr="00756573">
        <w:rPr>
          <w:rFonts w:ascii="Work Sans" w:hAnsi="Work Sans" w:cs="Arial"/>
          <w:sz w:val="22"/>
          <w:szCs w:val="22"/>
        </w:rPr>
        <w:t>aperturado</w:t>
      </w:r>
      <w:proofErr w:type="spellEnd"/>
      <w:r w:rsidRPr="00756573">
        <w:rPr>
          <w:rFonts w:ascii="Work Sans" w:hAnsi="Work Sans" w:cs="Arial"/>
          <w:sz w:val="22"/>
          <w:szCs w:val="22"/>
        </w:rPr>
        <w:t xml:space="preserve"> procesos para la recepción de proyectos estructurados por los Operadores de Red, debido a las restricciones legales derivadas de la Ley de Garantías. Una vez definidas las directrices del nuevo gobierno, se procederá con la apertura de las convocatorias correspondientes.</w:t>
      </w:r>
    </w:p>
    <w:p w14:paraId="0F12CCBB" w14:textId="77777777" w:rsidR="007A4104" w:rsidRDefault="007A4104" w:rsidP="007A4104">
      <w:pPr>
        <w:pStyle w:val="Prrafodelista"/>
        <w:jc w:val="both"/>
        <w:rPr>
          <w:rFonts w:ascii="Work Sans" w:hAnsi="Work Sans" w:cs="Arial"/>
          <w:sz w:val="22"/>
          <w:szCs w:val="22"/>
        </w:rPr>
      </w:pPr>
    </w:p>
    <w:p w14:paraId="78E5198C" w14:textId="77777777" w:rsidR="00180AD7" w:rsidRDefault="00CB43D1" w:rsidP="00180AD7">
      <w:pPr>
        <w:pStyle w:val="Prrafodelista"/>
        <w:numPr>
          <w:ilvl w:val="0"/>
          <w:numId w:val="4"/>
        </w:numPr>
        <w:jc w:val="both"/>
        <w:rPr>
          <w:rFonts w:ascii="Work Sans" w:hAnsi="Work Sans" w:cs="Arial"/>
          <w:sz w:val="22"/>
          <w:szCs w:val="22"/>
        </w:rPr>
      </w:pPr>
      <w:r w:rsidRPr="00756573">
        <w:rPr>
          <w:rFonts w:ascii="Work Sans" w:hAnsi="Work Sans" w:cs="Arial"/>
          <w:b/>
          <w:bCs/>
          <w:sz w:val="22"/>
          <w:szCs w:val="22"/>
        </w:rPr>
        <w:t>Aprobación</w:t>
      </w:r>
      <w:r w:rsidR="009E6941" w:rsidRPr="00756573">
        <w:rPr>
          <w:rFonts w:ascii="Work Sans" w:hAnsi="Work Sans" w:cs="Arial"/>
          <w:b/>
          <w:bCs/>
          <w:sz w:val="22"/>
          <w:szCs w:val="22"/>
        </w:rPr>
        <w:t xml:space="preserve">: </w:t>
      </w:r>
      <w:r w:rsidR="0002577A" w:rsidRPr="00756573">
        <w:rPr>
          <w:rFonts w:ascii="Work Sans" w:hAnsi="Work Sans" w:cs="Arial"/>
          <w:sz w:val="22"/>
          <w:szCs w:val="22"/>
        </w:rPr>
        <w:t>Actualmente</w:t>
      </w:r>
      <w:r w:rsidR="009E6941" w:rsidRPr="00756573">
        <w:rPr>
          <w:rFonts w:ascii="Work Sans" w:hAnsi="Work Sans" w:cs="Arial"/>
          <w:sz w:val="22"/>
          <w:szCs w:val="22"/>
        </w:rPr>
        <w:t xml:space="preserve">, el IPSE y la UPME no han remitido </w:t>
      </w:r>
      <w:r w:rsidR="0002577A" w:rsidRPr="00756573">
        <w:rPr>
          <w:rFonts w:ascii="Work Sans" w:hAnsi="Work Sans" w:cs="Arial"/>
          <w:sz w:val="22"/>
          <w:szCs w:val="22"/>
        </w:rPr>
        <w:t xml:space="preserve">proyectos con concepto FAVORABLE al Ministerio de Minas y Energía ubicados en el departamento del Meta. </w:t>
      </w:r>
      <w:r w:rsidR="00180AD7" w:rsidRPr="00756573">
        <w:rPr>
          <w:rFonts w:ascii="Work Sans" w:hAnsi="Work Sans" w:cs="Arial"/>
          <w:sz w:val="22"/>
          <w:szCs w:val="22"/>
        </w:rPr>
        <w:t>Es preciso señalar que, una vez sean radicados formalmente dichos conceptos y se habilite la fase de contratación, el Ministerio de Minas y Energía adelantará las gestiones correspondientes para la priorización de las iniciativas y la aprobación de los recursos a través de los Comités de Administración de los respectivos fondos (CAFAER / CAFAZNI).</w:t>
      </w:r>
    </w:p>
    <w:p w14:paraId="16E3C8F2" w14:textId="77777777" w:rsidR="009B3DE7" w:rsidRDefault="009B3DE7" w:rsidP="009B3DE7">
      <w:pPr>
        <w:pStyle w:val="Prrafodelista"/>
        <w:jc w:val="both"/>
        <w:rPr>
          <w:rFonts w:ascii="Work Sans" w:hAnsi="Work Sans" w:cs="Arial"/>
          <w:b/>
          <w:bCs/>
          <w:sz w:val="22"/>
          <w:szCs w:val="22"/>
        </w:rPr>
      </w:pPr>
    </w:p>
    <w:p w14:paraId="1594266E" w14:textId="4F8E6DBB" w:rsidR="009B3DE7" w:rsidRPr="009B3DE7" w:rsidRDefault="009B3DE7" w:rsidP="009B3DE7">
      <w:pPr>
        <w:pStyle w:val="Prrafodelista"/>
        <w:jc w:val="both"/>
        <w:rPr>
          <w:rFonts w:ascii="Work Sans" w:hAnsi="Work Sans" w:cs="Arial"/>
          <w:sz w:val="22"/>
          <w:szCs w:val="22"/>
        </w:rPr>
      </w:pPr>
      <w:r w:rsidRPr="008421D5">
        <w:rPr>
          <w:rFonts w:ascii="Work Sans" w:hAnsi="Work Sans" w:cs="Arial"/>
          <w:sz w:val="22"/>
          <w:szCs w:val="22"/>
        </w:rPr>
        <w:t>En lo correspondiente a OXI, una vez se cierre la venta</w:t>
      </w:r>
      <w:r w:rsidR="008421D5" w:rsidRPr="008421D5">
        <w:rPr>
          <w:rFonts w:ascii="Work Sans" w:hAnsi="Work Sans" w:cs="Arial"/>
          <w:sz w:val="22"/>
          <w:szCs w:val="22"/>
        </w:rPr>
        <w:t>na</w:t>
      </w:r>
      <w:r w:rsidRPr="008421D5">
        <w:rPr>
          <w:rFonts w:ascii="Work Sans" w:hAnsi="Work Sans" w:cs="Arial"/>
          <w:sz w:val="22"/>
          <w:szCs w:val="22"/>
        </w:rPr>
        <w:t xml:space="preserve"> de tiempo para el registro de proyectos en el banco de proyectos, por parte de la ART se habilita </w:t>
      </w:r>
      <w:r w:rsidR="008421D5" w:rsidRPr="008421D5">
        <w:rPr>
          <w:rFonts w:ascii="Work Sans" w:hAnsi="Work Sans" w:cs="Arial"/>
          <w:sz w:val="22"/>
          <w:szCs w:val="22"/>
        </w:rPr>
        <w:t>un periodo de tiempo</w:t>
      </w:r>
      <w:r w:rsidRPr="008421D5">
        <w:rPr>
          <w:rFonts w:ascii="Work Sans" w:hAnsi="Work Sans" w:cs="Arial"/>
          <w:sz w:val="22"/>
          <w:szCs w:val="22"/>
        </w:rPr>
        <w:t xml:space="preserve"> para que los contribuyentes </w:t>
      </w:r>
      <w:r w:rsidRPr="008421D5">
        <w:rPr>
          <w:rFonts w:ascii="Work Sans" w:hAnsi="Work Sans" w:cs="Arial"/>
          <w:sz w:val="22"/>
          <w:szCs w:val="22"/>
        </w:rPr>
        <w:t>seleccion</w:t>
      </w:r>
      <w:r w:rsidRPr="008421D5">
        <w:rPr>
          <w:rFonts w:ascii="Work Sans" w:hAnsi="Work Sans" w:cs="Arial"/>
          <w:sz w:val="22"/>
          <w:szCs w:val="22"/>
        </w:rPr>
        <w:t>en</w:t>
      </w:r>
      <w:r w:rsidR="008421D5" w:rsidRPr="008421D5">
        <w:rPr>
          <w:rFonts w:ascii="Work Sans" w:hAnsi="Work Sans" w:cs="Arial"/>
          <w:sz w:val="22"/>
          <w:szCs w:val="22"/>
        </w:rPr>
        <w:t xml:space="preserve"> </w:t>
      </w:r>
      <w:r w:rsidRPr="008421D5">
        <w:rPr>
          <w:rFonts w:ascii="Work Sans" w:hAnsi="Work Sans" w:cs="Arial"/>
          <w:sz w:val="22"/>
          <w:szCs w:val="22"/>
        </w:rPr>
        <w:t>la obra de su interés y present</w:t>
      </w:r>
      <w:r w:rsidRPr="008421D5">
        <w:rPr>
          <w:rFonts w:ascii="Work Sans" w:hAnsi="Work Sans" w:cs="Arial"/>
          <w:sz w:val="22"/>
          <w:szCs w:val="22"/>
        </w:rPr>
        <w:t>en</w:t>
      </w:r>
      <w:r w:rsidRPr="008421D5">
        <w:rPr>
          <w:rFonts w:ascii="Work Sans" w:hAnsi="Work Sans" w:cs="Arial"/>
          <w:sz w:val="22"/>
          <w:szCs w:val="22"/>
        </w:rPr>
        <w:t xml:space="preserve"> </w:t>
      </w:r>
      <w:r w:rsidRPr="008421D5">
        <w:rPr>
          <w:rFonts w:ascii="Work Sans" w:hAnsi="Work Sans" w:cs="Arial"/>
          <w:sz w:val="22"/>
          <w:szCs w:val="22"/>
        </w:rPr>
        <w:t>su</w:t>
      </w:r>
      <w:r w:rsidRPr="008421D5">
        <w:rPr>
          <w:rFonts w:ascii="Work Sans" w:hAnsi="Work Sans" w:cs="Arial"/>
          <w:sz w:val="22"/>
          <w:szCs w:val="22"/>
        </w:rPr>
        <w:t xml:space="preserve"> solicitud de vinculación ante la DIAN/ART manifestando la opción elegida</w:t>
      </w:r>
      <w:r w:rsidR="008421D5" w:rsidRPr="008421D5">
        <w:rPr>
          <w:rFonts w:ascii="Work Sans" w:hAnsi="Work Sans" w:cs="Arial"/>
          <w:sz w:val="22"/>
          <w:szCs w:val="22"/>
        </w:rPr>
        <w:t xml:space="preserve"> con el fin de que </w:t>
      </w:r>
      <w:r w:rsidRPr="008421D5">
        <w:rPr>
          <w:rFonts w:ascii="Work Sans" w:hAnsi="Work Sans" w:cs="Arial"/>
          <w:sz w:val="22"/>
          <w:szCs w:val="22"/>
        </w:rPr>
        <w:t>estas aprueben el financiamiento conforme al límite máximo (50%) de impuestos que pueden compensar a través del mecanismo.</w:t>
      </w:r>
      <w:r>
        <w:rPr>
          <w:rFonts w:ascii="Work Sans" w:hAnsi="Work Sans" w:cs="Arial"/>
          <w:sz w:val="22"/>
          <w:szCs w:val="22"/>
        </w:rPr>
        <w:t xml:space="preserve"> </w:t>
      </w:r>
      <w:r w:rsidR="0034781F">
        <w:rPr>
          <w:rFonts w:ascii="Work Sans" w:hAnsi="Work Sans" w:cs="Arial"/>
          <w:sz w:val="22"/>
          <w:szCs w:val="22"/>
        </w:rPr>
        <w:t xml:space="preserve">En respuesta a ello, la ART mediando acto administrativo (resolución) aprueba la financiación del proyecto por parte del contribuyente. </w:t>
      </w:r>
    </w:p>
    <w:p w14:paraId="30F8E417" w14:textId="77777777" w:rsidR="009B3DE7" w:rsidRDefault="009B3DE7" w:rsidP="00180AD7">
      <w:pPr>
        <w:pStyle w:val="Prrafodelista"/>
        <w:jc w:val="both"/>
        <w:rPr>
          <w:rFonts w:ascii="Work Sans" w:hAnsi="Work Sans" w:cs="Arial"/>
          <w:b/>
          <w:bCs/>
          <w:sz w:val="22"/>
          <w:szCs w:val="22"/>
        </w:rPr>
      </w:pPr>
    </w:p>
    <w:p w14:paraId="6A3FF04C" w14:textId="2A94ED46" w:rsidR="00CB43D1" w:rsidRPr="009B3DE7" w:rsidRDefault="00CB43D1" w:rsidP="00C25F8C">
      <w:pPr>
        <w:pStyle w:val="Prrafodelista"/>
        <w:numPr>
          <w:ilvl w:val="0"/>
          <w:numId w:val="4"/>
        </w:numPr>
        <w:jc w:val="both"/>
        <w:rPr>
          <w:rFonts w:ascii="Work Sans" w:hAnsi="Work Sans" w:cs="Arial"/>
          <w:b/>
          <w:bCs/>
          <w:sz w:val="22"/>
          <w:szCs w:val="22"/>
        </w:rPr>
      </w:pPr>
      <w:r w:rsidRPr="00756573">
        <w:rPr>
          <w:rFonts w:ascii="Work Sans" w:hAnsi="Work Sans" w:cs="Arial"/>
          <w:b/>
          <w:bCs/>
          <w:sz w:val="22"/>
          <w:szCs w:val="22"/>
        </w:rPr>
        <w:t>Contratación</w:t>
      </w:r>
      <w:r w:rsidR="0002577A" w:rsidRPr="00756573">
        <w:rPr>
          <w:rFonts w:ascii="Work Sans" w:hAnsi="Work Sans" w:cs="Arial"/>
          <w:b/>
          <w:bCs/>
          <w:sz w:val="22"/>
          <w:szCs w:val="22"/>
        </w:rPr>
        <w:t xml:space="preserve">: </w:t>
      </w:r>
      <w:r w:rsidR="00180AD7" w:rsidRPr="00756573">
        <w:rPr>
          <w:rFonts w:ascii="Work Sans" w:hAnsi="Work Sans" w:cs="Arial"/>
          <w:sz w:val="22"/>
          <w:szCs w:val="22"/>
        </w:rPr>
        <w:t>Teniendo en cuenta que no se registran proyectos con concepto FAVORABLE</w:t>
      </w:r>
      <w:r w:rsidR="009B3DE7">
        <w:rPr>
          <w:rFonts w:ascii="Work Sans" w:hAnsi="Work Sans" w:cs="Arial"/>
          <w:sz w:val="22"/>
          <w:szCs w:val="22"/>
        </w:rPr>
        <w:t xml:space="preserve"> en lo que respecta a financiamiento a través de FAZNI, FAER y PRONE</w:t>
      </w:r>
      <w:r w:rsidR="00180AD7" w:rsidRPr="00756573">
        <w:rPr>
          <w:rFonts w:ascii="Work Sans" w:hAnsi="Work Sans" w:cs="Arial"/>
          <w:sz w:val="22"/>
          <w:szCs w:val="22"/>
        </w:rPr>
        <w:t xml:space="preserve">, </w:t>
      </w:r>
      <w:r w:rsidR="00180AD7" w:rsidRPr="00756573">
        <w:rPr>
          <w:rFonts w:ascii="Work Sans" w:hAnsi="Work Sans" w:cs="Arial"/>
          <w:sz w:val="22"/>
          <w:szCs w:val="22"/>
        </w:rPr>
        <w:t xml:space="preserve">lo cual constituye un requisito habilitante e indispensable </w:t>
      </w:r>
      <w:r w:rsidR="00180AD7" w:rsidRPr="00756573">
        <w:rPr>
          <w:rFonts w:ascii="Work Sans" w:hAnsi="Work Sans" w:cs="Arial"/>
          <w:sz w:val="22"/>
          <w:szCs w:val="22"/>
        </w:rPr>
        <w:lastRenderedPageBreak/>
        <w:t>para la asignación de recursos y el posterior proceso de contratación, se informa que a la fecha no reposan iniciativas gestionadas en esta fase para el departamento del Meta.</w:t>
      </w:r>
    </w:p>
    <w:p w14:paraId="7F52AD68" w14:textId="77777777" w:rsidR="009B3DE7" w:rsidRPr="009B3DE7" w:rsidRDefault="009B3DE7" w:rsidP="009B3DE7">
      <w:pPr>
        <w:pStyle w:val="Prrafodelista"/>
        <w:jc w:val="both"/>
        <w:rPr>
          <w:rFonts w:ascii="Work Sans" w:hAnsi="Work Sans" w:cs="Arial"/>
          <w:sz w:val="22"/>
          <w:szCs w:val="22"/>
        </w:rPr>
      </w:pPr>
    </w:p>
    <w:p w14:paraId="456161CC" w14:textId="2218FDE8" w:rsidR="009B3DE7" w:rsidRPr="009B3DE7" w:rsidRDefault="009B3DE7" w:rsidP="009B3DE7">
      <w:pPr>
        <w:pStyle w:val="Prrafodelista"/>
        <w:jc w:val="both"/>
        <w:rPr>
          <w:rFonts w:ascii="Work Sans" w:hAnsi="Work Sans" w:cs="Arial"/>
          <w:sz w:val="22"/>
          <w:szCs w:val="22"/>
        </w:rPr>
      </w:pPr>
      <w:r w:rsidRPr="0034781F">
        <w:rPr>
          <w:rFonts w:ascii="Work Sans" w:hAnsi="Work Sans" w:cs="Arial"/>
          <w:sz w:val="22"/>
          <w:szCs w:val="22"/>
        </w:rPr>
        <w:t xml:space="preserve">Así mismo, en lo que respecta a OXI, los procesos de suscripción de contratos ya sea por Convenio o Fiducia, se realizan después </w:t>
      </w:r>
      <w:r w:rsidR="008421D5" w:rsidRPr="0034781F">
        <w:rPr>
          <w:rFonts w:ascii="Work Sans" w:hAnsi="Work Sans" w:cs="Arial"/>
          <w:sz w:val="22"/>
          <w:szCs w:val="22"/>
        </w:rPr>
        <w:t xml:space="preserve">de la </w:t>
      </w:r>
      <w:r w:rsidR="0034781F" w:rsidRPr="0034781F">
        <w:rPr>
          <w:rFonts w:ascii="Work Sans" w:hAnsi="Work Sans" w:cs="Arial"/>
          <w:sz w:val="22"/>
          <w:szCs w:val="22"/>
        </w:rPr>
        <w:t>a</w:t>
      </w:r>
      <w:r w:rsidR="008421D5" w:rsidRPr="0034781F">
        <w:rPr>
          <w:rFonts w:ascii="Work Sans" w:hAnsi="Work Sans" w:cs="Arial"/>
          <w:sz w:val="22"/>
          <w:szCs w:val="22"/>
        </w:rPr>
        <w:t>p</w:t>
      </w:r>
      <w:r w:rsidR="0034781F" w:rsidRPr="0034781F">
        <w:rPr>
          <w:rFonts w:ascii="Work Sans" w:hAnsi="Work Sans" w:cs="Arial"/>
          <w:sz w:val="22"/>
          <w:szCs w:val="22"/>
        </w:rPr>
        <w:t>r</w:t>
      </w:r>
      <w:r w:rsidR="008421D5" w:rsidRPr="0034781F">
        <w:rPr>
          <w:rFonts w:ascii="Work Sans" w:hAnsi="Work Sans" w:cs="Arial"/>
          <w:sz w:val="22"/>
          <w:szCs w:val="22"/>
        </w:rPr>
        <w:t xml:space="preserve">obación por </w:t>
      </w:r>
      <w:r w:rsidR="0034781F" w:rsidRPr="0034781F">
        <w:rPr>
          <w:rFonts w:ascii="Work Sans" w:hAnsi="Work Sans" w:cs="Arial"/>
          <w:sz w:val="22"/>
          <w:szCs w:val="22"/>
        </w:rPr>
        <w:t>parte</w:t>
      </w:r>
      <w:r w:rsidR="008421D5" w:rsidRPr="0034781F">
        <w:rPr>
          <w:rFonts w:ascii="Work Sans" w:hAnsi="Work Sans" w:cs="Arial"/>
          <w:sz w:val="22"/>
          <w:szCs w:val="22"/>
        </w:rPr>
        <w:t xml:space="preserve"> de </w:t>
      </w:r>
      <w:r w:rsidR="0034781F" w:rsidRPr="0034781F">
        <w:rPr>
          <w:rFonts w:ascii="Work Sans" w:hAnsi="Work Sans" w:cs="Arial"/>
          <w:sz w:val="22"/>
          <w:szCs w:val="22"/>
        </w:rPr>
        <w:t>la ART</w:t>
      </w:r>
      <w:r w:rsidRPr="0034781F">
        <w:rPr>
          <w:rFonts w:ascii="Work Sans" w:hAnsi="Work Sans" w:cs="Arial"/>
          <w:sz w:val="22"/>
          <w:szCs w:val="22"/>
        </w:rPr>
        <w:t xml:space="preserve"> </w:t>
      </w:r>
      <w:r w:rsidR="0034781F" w:rsidRPr="0034781F">
        <w:rPr>
          <w:rFonts w:ascii="Work Sans" w:hAnsi="Work Sans" w:cs="Arial"/>
          <w:sz w:val="22"/>
          <w:szCs w:val="22"/>
        </w:rPr>
        <w:t>(</w:t>
      </w:r>
      <w:r w:rsidR="0034781F" w:rsidRPr="0034781F">
        <w:rPr>
          <w:rFonts w:ascii="Work Sans" w:hAnsi="Work Sans" w:cs="Arial"/>
          <w:sz w:val="22"/>
          <w:szCs w:val="22"/>
        </w:rPr>
        <w:t>octubre</w:t>
      </w:r>
      <w:r w:rsidR="0034781F" w:rsidRPr="0034781F">
        <w:rPr>
          <w:rFonts w:ascii="Work Sans" w:hAnsi="Work Sans" w:cs="Arial"/>
          <w:sz w:val="22"/>
          <w:szCs w:val="22"/>
        </w:rPr>
        <w:t xml:space="preserve">, </w:t>
      </w:r>
      <w:r w:rsidR="0034781F" w:rsidRPr="0034781F">
        <w:rPr>
          <w:rFonts w:ascii="Work Sans" w:hAnsi="Work Sans" w:cs="Arial"/>
          <w:sz w:val="22"/>
          <w:szCs w:val="22"/>
        </w:rPr>
        <w:t>mes de cierre para el segundo semestre del año)</w:t>
      </w:r>
      <w:r w:rsidR="0034781F" w:rsidRPr="0034781F">
        <w:rPr>
          <w:rFonts w:ascii="Work Sans" w:hAnsi="Work Sans" w:cs="Arial"/>
          <w:sz w:val="22"/>
          <w:szCs w:val="22"/>
        </w:rPr>
        <w:t>, siendo la</w:t>
      </w:r>
      <w:r w:rsidR="0034781F" w:rsidRPr="0034781F">
        <w:rPr>
          <w:rFonts w:ascii="Work Sans" w:hAnsi="Work Sans" w:cs="Arial"/>
          <w:sz w:val="22"/>
          <w:szCs w:val="22"/>
        </w:rPr>
        <w:t xml:space="preserve"> </w:t>
      </w:r>
      <w:r w:rsidRPr="0034781F">
        <w:rPr>
          <w:rFonts w:ascii="Work Sans" w:hAnsi="Work Sans" w:cs="Arial"/>
          <w:sz w:val="22"/>
          <w:szCs w:val="22"/>
        </w:rPr>
        <w:t>fecha aproximada en la cual se cierra la ventana para que los contribuyentes remitan su carta de interés ante la DIAN/ART de realizar el financiamiento</w:t>
      </w:r>
      <w:r w:rsidR="0034781F" w:rsidRPr="0034781F">
        <w:rPr>
          <w:rFonts w:ascii="Work Sans" w:hAnsi="Work Sans" w:cs="Arial"/>
          <w:sz w:val="22"/>
          <w:szCs w:val="22"/>
        </w:rPr>
        <w:t xml:space="preserve">. Es por ello </w:t>
      </w:r>
      <w:proofErr w:type="gramStart"/>
      <w:r w:rsidR="0034781F" w:rsidRPr="0034781F">
        <w:rPr>
          <w:rFonts w:ascii="Work Sans" w:hAnsi="Work Sans" w:cs="Arial"/>
          <w:sz w:val="22"/>
          <w:szCs w:val="22"/>
        </w:rPr>
        <w:t>que</w:t>
      </w:r>
      <w:proofErr w:type="gramEnd"/>
      <w:r w:rsidR="0034781F" w:rsidRPr="0034781F">
        <w:rPr>
          <w:rFonts w:ascii="Work Sans" w:hAnsi="Work Sans" w:cs="Arial"/>
          <w:sz w:val="22"/>
          <w:szCs w:val="22"/>
        </w:rPr>
        <w:t xml:space="preserve"> actualmente no se cuentan con proyectos en proceso de contratación.</w:t>
      </w:r>
      <w:r w:rsidR="0034781F">
        <w:rPr>
          <w:rFonts w:ascii="Work Sans" w:hAnsi="Work Sans" w:cs="Arial"/>
          <w:sz w:val="22"/>
          <w:szCs w:val="22"/>
        </w:rPr>
        <w:t xml:space="preserve"> </w:t>
      </w:r>
    </w:p>
    <w:p w14:paraId="4C85DB21" w14:textId="77777777" w:rsidR="009B3DE7" w:rsidRDefault="009B3DE7" w:rsidP="009B3DE7">
      <w:pPr>
        <w:pStyle w:val="Prrafodelista"/>
        <w:jc w:val="both"/>
        <w:rPr>
          <w:rFonts w:ascii="Work Sans" w:hAnsi="Work Sans" w:cs="Arial"/>
          <w:b/>
          <w:bCs/>
          <w:sz w:val="22"/>
          <w:szCs w:val="22"/>
        </w:rPr>
      </w:pPr>
    </w:p>
    <w:p w14:paraId="626D7E99" w14:textId="6A25118E" w:rsidR="009B3DE7" w:rsidRPr="00756573" w:rsidRDefault="009B3DE7" w:rsidP="009B3DE7">
      <w:pPr>
        <w:pStyle w:val="Prrafodelista"/>
        <w:jc w:val="both"/>
        <w:rPr>
          <w:rFonts w:ascii="Work Sans" w:hAnsi="Work Sans" w:cs="Arial"/>
          <w:b/>
          <w:bCs/>
          <w:sz w:val="22"/>
          <w:szCs w:val="22"/>
        </w:rPr>
      </w:pPr>
    </w:p>
    <w:p w14:paraId="49FF08FC" w14:textId="77777777" w:rsidR="005C716A" w:rsidRPr="00756573" w:rsidRDefault="005C716A" w:rsidP="002312A1">
      <w:pPr>
        <w:jc w:val="both"/>
        <w:rPr>
          <w:rFonts w:ascii="Work Sans" w:hAnsi="Work Sans" w:cs="Arial"/>
          <w:sz w:val="22"/>
          <w:szCs w:val="22"/>
        </w:rPr>
      </w:pPr>
    </w:p>
    <w:sectPr w:rsidR="005C716A" w:rsidRPr="007565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06EC"/>
    <w:multiLevelType w:val="hybridMultilevel"/>
    <w:tmpl w:val="E2AC5B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16AD30FF"/>
    <w:multiLevelType w:val="hybridMultilevel"/>
    <w:tmpl w:val="4F0607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1CB30C0"/>
    <w:multiLevelType w:val="hybridMultilevel"/>
    <w:tmpl w:val="E2AC5B3E"/>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26280C5C"/>
    <w:multiLevelType w:val="hybridMultilevel"/>
    <w:tmpl w:val="AE6609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AF0688A"/>
    <w:multiLevelType w:val="hybridMultilevel"/>
    <w:tmpl w:val="9B4E83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E1323F"/>
    <w:multiLevelType w:val="hybridMultilevel"/>
    <w:tmpl w:val="D340C1EA"/>
    <w:lvl w:ilvl="0" w:tplc="881065AC">
      <w:start w:val="1"/>
      <w:numFmt w:val="decimal"/>
      <w:lvlText w:val="%1."/>
      <w:lvlJc w:val="left"/>
      <w:pPr>
        <w:ind w:left="426" w:hanging="360"/>
      </w:pPr>
      <w:rPr>
        <w:rFonts w:hint="default"/>
      </w:rPr>
    </w:lvl>
    <w:lvl w:ilvl="1" w:tplc="240A0019" w:tentative="1">
      <w:start w:val="1"/>
      <w:numFmt w:val="lowerLetter"/>
      <w:lvlText w:val="%2."/>
      <w:lvlJc w:val="left"/>
      <w:pPr>
        <w:ind w:left="1146" w:hanging="360"/>
      </w:pPr>
    </w:lvl>
    <w:lvl w:ilvl="2" w:tplc="240A001B" w:tentative="1">
      <w:start w:val="1"/>
      <w:numFmt w:val="lowerRoman"/>
      <w:lvlText w:val="%3."/>
      <w:lvlJc w:val="right"/>
      <w:pPr>
        <w:ind w:left="1866" w:hanging="180"/>
      </w:pPr>
    </w:lvl>
    <w:lvl w:ilvl="3" w:tplc="240A000F" w:tentative="1">
      <w:start w:val="1"/>
      <w:numFmt w:val="decimal"/>
      <w:lvlText w:val="%4."/>
      <w:lvlJc w:val="left"/>
      <w:pPr>
        <w:ind w:left="2586" w:hanging="360"/>
      </w:pPr>
    </w:lvl>
    <w:lvl w:ilvl="4" w:tplc="240A0019" w:tentative="1">
      <w:start w:val="1"/>
      <w:numFmt w:val="lowerLetter"/>
      <w:lvlText w:val="%5."/>
      <w:lvlJc w:val="left"/>
      <w:pPr>
        <w:ind w:left="3306" w:hanging="360"/>
      </w:pPr>
    </w:lvl>
    <w:lvl w:ilvl="5" w:tplc="240A001B" w:tentative="1">
      <w:start w:val="1"/>
      <w:numFmt w:val="lowerRoman"/>
      <w:lvlText w:val="%6."/>
      <w:lvlJc w:val="right"/>
      <w:pPr>
        <w:ind w:left="4026" w:hanging="180"/>
      </w:pPr>
    </w:lvl>
    <w:lvl w:ilvl="6" w:tplc="240A000F" w:tentative="1">
      <w:start w:val="1"/>
      <w:numFmt w:val="decimal"/>
      <w:lvlText w:val="%7."/>
      <w:lvlJc w:val="left"/>
      <w:pPr>
        <w:ind w:left="4746" w:hanging="360"/>
      </w:pPr>
    </w:lvl>
    <w:lvl w:ilvl="7" w:tplc="240A0019" w:tentative="1">
      <w:start w:val="1"/>
      <w:numFmt w:val="lowerLetter"/>
      <w:lvlText w:val="%8."/>
      <w:lvlJc w:val="left"/>
      <w:pPr>
        <w:ind w:left="5466" w:hanging="360"/>
      </w:pPr>
    </w:lvl>
    <w:lvl w:ilvl="8" w:tplc="240A001B" w:tentative="1">
      <w:start w:val="1"/>
      <w:numFmt w:val="lowerRoman"/>
      <w:lvlText w:val="%9."/>
      <w:lvlJc w:val="right"/>
      <w:pPr>
        <w:ind w:left="6186" w:hanging="180"/>
      </w:pPr>
    </w:lvl>
  </w:abstractNum>
  <w:abstractNum w:abstractNumId="6" w15:restartNumberingAfterBreak="0">
    <w:nsid w:val="3554078D"/>
    <w:multiLevelType w:val="hybridMultilevel"/>
    <w:tmpl w:val="FCC48E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2717614"/>
    <w:multiLevelType w:val="multilevel"/>
    <w:tmpl w:val="3AAAF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767D9C"/>
    <w:multiLevelType w:val="hybridMultilevel"/>
    <w:tmpl w:val="A00EE05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3435F99"/>
    <w:multiLevelType w:val="hybridMultilevel"/>
    <w:tmpl w:val="6D8AA55E"/>
    <w:lvl w:ilvl="0" w:tplc="240A0001">
      <w:start w:val="1"/>
      <w:numFmt w:val="bullet"/>
      <w:lvlText w:val=""/>
      <w:lvlJc w:val="left"/>
      <w:pPr>
        <w:ind w:left="426" w:hanging="360"/>
      </w:pPr>
      <w:rPr>
        <w:rFonts w:ascii="Symbol" w:hAnsi="Symbol" w:hint="default"/>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10" w15:restartNumberingAfterBreak="0">
    <w:nsid w:val="7F047EC2"/>
    <w:multiLevelType w:val="hybridMultilevel"/>
    <w:tmpl w:val="B9848650"/>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80320645">
    <w:abstractNumId w:val="4"/>
  </w:num>
  <w:num w:numId="2" w16cid:durableId="761144352">
    <w:abstractNumId w:val="2"/>
  </w:num>
  <w:num w:numId="3" w16cid:durableId="1040135053">
    <w:abstractNumId w:val="0"/>
  </w:num>
  <w:num w:numId="4" w16cid:durableId="356585486">
    <w:abstractNumId w:val="1"/>
  </w:num>
  <w:num w:numId="5" w16cid:durableId="1904024586">
    <w:abstractNumId w:val="7"/>
  </w:num>
  <w:num w:numId="6" w16cid:durableId="1348828925">
    <w:abstractNumId w:val="6"/>
  </w:num>
  <w:num w:numId="7" w16cid:durableId="230623019">
    <w:abstractNumId w:val="3"/>
  </w:num>
  <w:num w:numId="8" w16cid:durableId="1944996827">
    <w:abstractNumId w:val="5"/>
  </w:num>
  <w:num w:numId="9" w16cid:durableId="965042768">
    <w:abstractNumId w:val="10"/>
  </w:num>
  <w:num w:numId="10" w16cid:durableId="810903563">
    <w:abstractNumId w:val="9"/>
  </w:num>
  <w:num w:numId="11" w16cid:durableId="6640920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96B"/>
    <w:rsid w:val="0002577A"/>
    <w:rsid w:val="000C0404"/>
    <w:rsid w:val="00180AD7"/>
    <w:rsid w:val="001D7651"/>
    <w:rsid w:val="002312A1"/>
    <w:rsid w:val="002A0410"/>
    <w:rsid w:val="002C6B3F"/>
    <w:rsid w:val="003247FC"/>
    <w:rsid w:val="0034781F"/>
    <w:rsid w:val="00397DFB"/>
    <w:rsid w:val="005C716A"/>
    <w:rsid w:val="007276B6"/>
    <w:rsid w:val="00756573"/>
    <w:rsid w:val="007A4104"/>
    <w:rsid w:val="007B3F96"/>
    <w:rsid w:val="00823517"/>
    <w:rsid w:val="008421D5"/>
    <w:rsid w:val="008F096B"/>
    <w:rsid w:val="00992301"/>
    <w:rsid w:val="009B3DE7"/>
    <w:rsid w:val="009E6941"/>
    <w:rsid w:val="00A12FD1"/>
    <w:rsid w:val="00A23F50"/>
    <w:rsid w:val="00BE4AA8"/>
    <w:rsid w:val="00C25F8C"/>
    <w:rsid w:val="00C877B3"/>
    <w:rsid w:val="00CB43D1"/>
    <w:rsid w:val="00CC795A"/>
    <w:rsid w:val="00DD39D6"/>
    <w:rsid w:val="00DF0FCC"/>
    <w:rsid w:val="00EC7A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66671"/>
  <w15:chartTrackingRefBased/>
  <w15:docId w15:val="{30E4D0C7-AE96-477C-9702-1C841B7BA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F09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F09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F096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F096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F096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F096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F096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F096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F096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F096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F096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F096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F096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F096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F096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F096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F096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F096B"/>
    <w:rPr>
      <w:rFonts w:eastAsiaTheme="majorEastAsia" w:cstheme="majorBidi"/>
      <w:color w:val="272727" w:themeColor="text1" w:themeTint="D8"/>
    </w:rPr>
  </w:style>
  <w:style w:type="paragraph" w:styleId="Ttulo">
    <w:name w:val="Title"/>
    <w:basedOn w:val="Normal"/>
    <w:next w:val="Normal"/>
    <w:link w:val="TtuloCar"/>
    <w:uiPriority w:val="10"/>
    <w:qFormat/>
    <w:rsid w:val="008F09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F096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F096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F096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F096B"/>
    <w:pPr>
      <w:spacing w:before="160"/>
      <w:jc w:val="center"/>
    </w:pPr>
    <w:rPr>
      <w:i/>
      <w:iCs/>
      <w:color w:val="404040" w:themeColor="text1" w:themeTint="BF"/>
    </w:rPr>
  </w:style>
  <w:style w:type="character" w:customStyle="1" w:styleId="CitaCar">
    <w:name w:val="Cita Car"/>
    <w:basedOn w:val="Fuentedeprrafopredeter"/>
    <w:link w:val="Cita"/>
    <w:uiPriority w:val="29"/>
    <w:rsid w:val="008F096B"/>
    <w:rPr>
      <w:i/>
      <w:iCs/>
      <w:color w:val="404040" w:themeColor="text1" w:themeTint="BF"/>
    </w:rPr>
  </w:style>
  <w:style w:type="paragraph" w:styleId="Prrafodelista">
    <w:name w:val="List Paragraph"/>
    <w:basedOn w:val="Normal"/>
    <w:uiPriority w:val="34"/>
    <w:qFormat/>
    <w:rsid w:val="008F096B"/>
    <w:pPr>
      <w:ind w:left="720"/>
      <w:contextualSpacing/>
    </w:pPr>
  </w:style>
  <w:style w:type="character" w:styleId="nfasisintenso">
    <w:name w:val="Intense Emphasis"/>
    <w:basedOn w:val="Fuentedeprrafopredeter"/>
    <w:uiPriority w:val="21"/>
    <w:qFormat/>
    <w:rsid w:val="008F096B"/>
    <w:rPr>
      <w:i/>
      <w:iCs/>
      <w:color w:val="0F4761" w:themeColor="accent1" w:themeShade="BF"/>
    </w:rPr>
  </w:style>
  <w:style w:type="paragraph" w:styleId="Citadestacada">
    <w:name w:val="Intense Quote"/>
    <w:basedOn w:val="Normal"/>
    <w:next w:val="Normal"/>
    <w:link w:val="CitadestacadaCar"/>
    <w:uiPriority w:val="30"/>
    <w:qFormat/>
    <w:rsid w:val="008F09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F096B"/>
    <w:rPr>
      <w:i/>
      <w:iCs/>
      <w:color w:val="0F4761" w:themeColor="accent1" w:themeShade="BF"/>
    </w:rPr>
  </w:style>
  <w:style w:type="character" w:styleId="Referenciaintensa">
    <w:name w:val="Intense Reference"/>
    <w:basedOn w:val="Fuentedeprrafopredeter"/>
    <w:uiPriority w:val="32"/>
    <w:qFormat/>
    <w:rsid w:val="008F096B"/>
    <w:rPr>
      <w:b/>
      <w:bCs/>
      <w:smallCaps/>
      <w:color w:val="0F4761" w:themeColor="accent1" w:themeShade="BF"/>
      <w:spacing w:val="5"/>
    </w:rPr>
  </w:style>
  <w:style w:type="paragraph" w:customStyle="1" w:styleId="paragraph">
    <w:name w:val="paragraph"/>
    <w:basedOn w:val="Normal"/>
    <w:rsid w:val="00756573"/>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styleId="Hipervnculo">
    <w:name w:val="Hyperlink"/>
    <w:basedOn w:val="Fuentedeprrafopredeter"/>
    <w:uiPriority w:val="99"/>
    <w:unhideWhenUsed/>
    <w:rsid w:val="0075657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energia.gov.co/es/"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upme.gov.co/ventanilla-unica-de-tramites-y-servicios/sistema-unico-de-usuarios/"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pse.gov.co/mapa-del-sitio/tramites-y-servicios/" TargetMode="External"/><Relationship Id="rId11" Type="http://schemas.openxmlformats.org/officeDocument/2006/relationships/theme" Target="theme/theme1.xml"/><Relationship Id="rId5" Type="http://schemas.openxmlformats.org/officeDocument/2006/relationships/hyperlink" Target="mailto:ipse@ipse.gov.c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brasporimpuestos.renovacionterritorio.gov.co/ObrasImpuestos" TargetMode="External"/><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29C648B6-A011-49B0-8C1F-5D48A501303E}"/>
</file>

<file path=customXml/itemProps2.xml><?xml version="1.0" encoding="utf-8"?>
<ds:datastoreItem xmlns:ds="http://schemas.openxmlformats.org/officeDocument/2006/customXml" ds:itemID="{B943DBB9-28ED-4A73-BE6E-11C13990CC25}"/>
</file>

<file path=customXml/itemProps3.xml><?xml version="1.0" encoding="utf-8"?>
<ds:datastoreItem xmlns:ds="http://schemas.openxmlformats.org/officeDocument/2006/customXml" ds:itemID="{A146D5BE-0669-40C1-8896-C013983357D7}"/>
</file>

<file path=docProps/app.xml><?xml version="1.0" encoding="utf-8"?>
<Properties xmlns="http://schemas.openxmlformats.org/officeDocument/2006/extended-properties" xmlns:vt="http://schemas.openxmlformats.org/officeDocument/2006/docPropsVTypes">
  <Template>Normal</Template>
  <TotalTime>251</TotalTime>
  <Pages>9</Pages>
  <Words>2900</Words>
  <Characters>15950</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DAYANNA SOLEY MENDEZ DEVIA</dc:creator>
  <cp:keywords/>
  <dc:description/>
  <cp:lastModifiedBy>DAYANNA SOLEY MENDEZ DEVIA</cp:lastModifiedBy>
  <cp:revision>4</cp:revision>
  <dcterms:created xsi:type="dcterms:W3CDTF">2026-07-24T16:19:00Z</dcterms:created>
  <dcterms:modified xsi:type="dcterms:W3CDTF">2026-07-24T20:32:00Z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